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B4C0F">
      <w:pPr>
        <w:rPr>
          <w:rFonts w:hint="eastAsia" w:ascii="仿宋" w:hAnsi="仿宋"/>
          <w:szCs w:val="32"/>
        </w:rPr>
      </w:pPr>
    </w:p>
    <w:p w14:paraId="27E954CE">
      <w:pPr>
        <w:rPr>
          <w:rFonts w:ascii="仿宋" w:hAnsi="仿宋"/>
          <w:szCs w:val="32"/>
        </w:rPr>
      </w:pPr>
    </w:p>
    <w:p w14:paraId="4F4B2EE6">
      <w:pPr>
        <w:rPr>
          <w:rFonts w:ascii="仿宋" w:hAnsi="仿宋"/>
          <w:szCs w:val="32"/>
        </w:rPr>
      </w:pPr>
    </w:p>
    <w:p w14:paraId="35C53001">
      <w:pPr>
        <w:rPr>
          <w:rFonts w:ascii="仿宋" w:hAnsi="仿宋"/>
          <w:szCs w:val="32"/>
        </w:rPr>
      </w:pPr>
    </w:p>
    <w:p w14:paraId="68A4E680">
      <w:pPr>
        <w:rPr>
          <w:rFonts w:ascii="仿宋" w:hAnsi="仿宋"/>
          <w:szCs w:val="32"/>
        </w:rPr>
      </w:pPr>
    </w:p>
    <w:p w14:paraId="6FA979DB">
      <w:pPr>
        <w:rPr>
          <w:rFonts w:ascii="仿宋" w:hAnsi="仿宋"/>
          <w:szCs w:val="32"/>
        </w:rPr>
      </w:pPr>
    </w:p>
    <w:p w14:paraId="4E6938EE">
      <w:pPr>
        <w:rPr>
          <w:rFonts w:ascii="仿宋" w:hAnsi="仿宋"/>
          <w:szCs w:val="32"/>
        </w:rPr>
      </w:pPr>
    </w:p>
    <w:p w14:paraId="2476C5A9">
      <w:pPr>
        <w:rPr>
          <w:rFonts w:hint="eastAsia" w:ascii="仿宋_GB2312" w:hAnsi="仿宋" w:eastAsia="仿宋_GB2312"/>
          <w:szCs w:val="32"/>
        </w:rPr>
      </w:pPr>
    </w:p>
    <w:p w14:paraId="780B2511">
      <w:pPr>
        <w:jc w:val="center"/>
        <w:rPr>
          <w:rFonts w:hint="eastAsia" w:ascii="仿宋_GB2312" w:hAnsi="华文仿宋" w:eastAsia="仿宋_GB2312"/>
          <w:szCs w:val="32"/>
        </w:rPr>
      </w:pPr>
    </w:p>
    <w:p w14:paraId="3BEF1B9C">
      <w:pPr>
        <w:jc w:val="center"/>
        <w:rPr>
          <w:rFonts w:hint="eastAsia" w:ascii="仿宋_GB2312" w:hAnsi="华文仿宋" w:eastAsia="仿宋_GB2312"/>
          <w:szCs w:val="32"/>
        </w:rPr>
      </w:pPr>
    </w:p>
    <w:p w14:paraId="70DC0F6F">
      <w:pPr>
        <w:jc w:val="center"/>
        <w:rPr>
          <w:rFonts w:hint="eastAsia" w:ascii="仿宋_GB2312" w:hAnsi="华文仿宋" w:eastAsia="仿宋_GB2312"/>
          <w:szCs w:val="32"/>
        </w:rPr>
      </w:pPr>
    </w:p>
    <w:p w14:paraId="79CE43AE">
      <w:pPr>
        <w:jc w:val="center"/>
        <w:rPr>
          <w:rFonts w:hint="eastAsia" w:ascii="仿宋_GB2312" w:hAnsi="华文仿宋" w:eastAsia="仿宋_GB2312"/>
          <w:szCs w:val="32"/>
        </w:rPr>
      </w:pPr>
    </w:p>
    <w:p w14:paraId="1D725E57">
      <w:pPr>
        <w:jc w:val="center"/>
        <w:rPr>
          <w:rFonts w:hint="eastAsia" w:ascii="仿宋" w:hAnsi="仿宋" w:eastAsia="仿宋" w:cs="仿宋"/>
          <w:sz w:val="32"/>
          <w:szCs w:val="32"/>
          <w:lang w:val="zh-CN" w:eastAsia="zh-CN" w:bidi="zh-CN"/>
        </w:rPr>
      </w:pPr>
    </w:p>
    <w:p w14:paraId="17797075">
      <w:pPr>
        <w:keepNext w:val="0"/>
        <w:keepLines w:val="0"/>
        <w:pageBreakBefore w:val="0"/>
        <w:kinsoku/>
        <w:wordWrap/>
        <w:overflowPunct/>
        <w:topLinePunct w:val="0"/>
        <w:bidi w:val="0"/>
        <w:snapToGrid/>
        <w:spacing w:line="520" w:lineRule="exact"/>
        <w:jc w:val="both"/>
        <w:textAlignment w:val="auto"/>
        <w:outlineLvl w:val="9"/>
        <w:rPr>
          <w:rFonts w:hint="eastAsia" w:ascii="方正小标宋简体" w:hAnsi="方正小标宋简体" w:eastAsia="方正小标宋简体" w:cs="方正小标宋简体"/>
          <w:b w:val="0"/>
          <w:bCs w:val="0"/>
          <w:sz w:val="44"/>
          <w:szCs w:val="44"/>
        </w:rPr>
      </w:pPr>
    </w:p>
    <w:p w14:paraId="0FFF65A0">
      <w:pPr>
        <w:pStyle w:val="5"/>
        <w:keepNext w:val="0"/>
        <w:keepLines w:val="0"/>
        <w:pageBreakBefore w:val="0"/>
        <w:kinsoku/>
        <w:wordWrap/>
        <w:overflowPunct/>
        <w:topLinePunct w:val="0"/>
        <w:autoSpaceDE w:val="0"/>
        <w:autoSpaceDN w:val="0"/>
        <w:bidi w:val="0"/>
        <w:adjustRightInd/>
        <w:snapToGrid/>
        <w:spacing w:before="3" w:line="560" w:lineRule="exact"/>
        <w:jc w:val="center"/>
        <w:textAlignment w:val="auto"/>
        <w:rPr>
          <w:rFonts w:hint="eastAsia" w:ascii="方正小标宋简体" w:hAnsi="方正小标宋简体" w:eastAsia="方正小标宋简体" w:cs="方正小标宋简体"/>
          <w:b w:val="0"/>
          <w:bCs w:val="0"/>
          <w:sz w:val="44"/>
          <w:szCs w:val="44"/>
          <w:lang w:val="zh-CN" w:eastAsia="zh-CN" w:bidi="zh-CN"/>
        </w:rPr>
      </w:pPr>
      <w:r>
        <w:rPr>
          <w:rFonts w:hint="eastAsia" w:ascii="方正小标宋简体" w:hAnsi="方正小标宋简体" w:eastAsia="方正小标宋简体" w:cs="方正小标宋简体"/>
          <w:b w:val="0"/>
          <w:bCs w:val="0"/>
          <w:sz w:val="44"/>
          <w:szCs w:val="44"/>
          <w:lang w:val="zh-CN" w:eastAsia="zh-CN" w:bidi="zh-CN"/>
        </w:rPr>
        <w:t>关于印发</w:t>
      </w:r>
      <w:r>
        <w:rPr>
          <w:rFonts w:hint="eastAsia" w:ascii="方正小标宋简体" w:hAnsi="华文仿宋" w:eastAsia="方正小标宋简体"/>
          <w:color w:val="auto"/>
          <w:sz w:val="44"/>
          <w:szCs w:val="44"/>
        </w:rPr>
        <w:t>南昌市居民家庭经济状况核对操作规程</w:t>
      </w:r>
      <w:r>
        <w:rPr>
          <w:rFonts w:hint="eastAsia" w:ascii="方正小标宋简体" w:hAnsi="方正小标宋简体" w:eastAsia="方正小标宋简体" w:cs="方正小标宋简体"/>
          <w:b w:val="0"/>
          <w:bCs w:val="0"/>
          <w:sz w:val="44"/>
          <w:szCs w:val="44"/>
          <w:lang w:val="zh-CN" w:eastAsia="zh-CN" w:bidi="zh-CN"/>
        </w:rPr>
        <w:t>的通知</w:t>
      </w:r>
    </w:p>
    <w:p w14:paraId="2F5079B5">
      <w:pPr>
        <w:pStyle w:val="5"/>
        <w:keepNext w:val="0"/>
        <w:keepLines w:val="0"/>
        <w:pageBreakBefore w:val="0"/>
        <w:kinsoku/>
        <w:wordWrap/>
        <w:overflowPunct/>
        <w:topLinePunct w:val="0"/>
        <w:autoSpaceDE w:val="0"/>
        <w:autoSpaceDN w:val="0"/>
        <w:bidi w:val="0"/>
        <w:adjustRightInd/>
        <w:snapToGrid/>
        <w:spacing w:before="3" w:line="560" w:lineRule="exact"/>
        <w:jc w:val="center"/>
        <w:textAlignment w:val="auto"/>
        <w:rPr>
          <w:rFonts w:hint="eastAsia" w:ascii="仿宋_GB2312" w:hAnsi="仿宋_GB2312" w:eastAsia="仿宋_GB2312" w:cs="仿宋_GB2312"/>
          <w:b w:val="0"/>
          <w:bCs w:val="0"/>
          <w:sz w:val="32"/>
          <w:szCs w:val="32"/>
          <w:lang w:val="zh-CN" w:eastAsia="zh-CN" w:bidi="zh-CN"/>
        </w:rPr>
      </w:pPr>
      <w:bookmarkStart w:id="0" w:name="_GoBack"/>
      <w:bookmarkEnd w:id="0"/>
    </w:p>
    <w:p w14:paraId="346125C2">
      <w:pPr>
        <w:pStyle w:val="5"/>
        <w:keepNext w:val="0"/>
        <w:keepLines w:val="0"/>
        <w:pageBreakBefore w:val="0"/>
        <w:kinsoku/>
        <w:wordWrap/>
        <w:overflowPunct/>
        <w:topLinePunct w:val="0"/>
        <w:autoSpaceDE w:val="0"/>
        <w:autoSpaceDN w:val="0"/>
        <w:bidi w:val="0"/>
        <w:adjustRightInd/>
        <w:snapToGrid/>
        <w:spacing w:before="3" w:line="560" w:lineRule="exact"/>
        <w:jc w:val="center"/>
        <w:textAlignment w:val="auto"/>
        <w:rPr>
          <w:rFonts w:hint="eastAsia" w:ascii="仿宋_GB2312" w:hAnsi="仿宋_GB2312" w:eastAsia="仿宋_GB2312" w:cs="仿宋_GB2312"/>
          <w:b w:val="0"/>
          <w:bCs w:val="0"/>
          <w:sz w:val="32"/>
          <w:szCs w:val="32"/>
          <w:lang w:val="zh-CN" w:eastAsia="zh-CN" w:bidi="zh-CN"/>
        </w:rPr>
      </w:pPr>
      <w:r>
        <w:rPr>
          <w:rFonts w:hint="eastAsia" w:ascii="仿宋_GB2312" w:hAnsi="仿宋_GB2312" w:eastAsia="仿宋_GB2312" w:cs="仿宋_GB2312"/>
          <w:b w:val="0"/>
          <w:bCs w:val="0"/>
          <w:sz w:val="32"/>
          <w:szCs w:val="32"/>
          <w:lang w:val="zh-CN" w:eastAsia="zh-CN" w:bidi="zh-CN"/>
        </w:rPr>
        <w:t>洪民规字〔2022〕2号</w:t>
      </w:r>
    </w:p>
    <w:p w14:paraId="2F34738F">
      <w:pPr>
        <w:pStyle w:val="5"/>
        <w:keepNext w:val="0"/>
        <w:keepLines w:val="0"/>
        <w:pageBreakBefore w:val="0"/>
        <w:kinsoku/>
        <w:wordWrap/>
        <w:overflowPunct/>
        <w:topLinePunct w:val="0"/>
        <w:autoSpaceDE w:val="0"/>
        <w:autoSpaceDN w:val="0"/>
        <w:bidi w:val="0"/>
        <w:adjustRightInd/>
        <w:snapToGrid/>
        <w:spacing w:before="3" w:line="560" w:lineRule="exact"/>
        <w:jc w:val="both"/>
        <w:textAlignment w:val="auto"/>
        <w:rPr>
          <w:rFonts w:hint="eastAsia"/>
          <w:sz w:val="30"/>
        </w:rPr>
      </w:pPr>
    </w:p>
    <w:p w14:paraId="5C9BA525">
      <w:pPr>
        <w:keepNext w:val="0"/>
        <w:keepLines w:val="0"/>
        <w:pageBreakBefore w:val="0"/>
        <w:widowControl w:val="0"/>
        <w:kinsoku/>
        <w:wordWrap/>
        <w:overflowPunct/>
        <w:topLinePunct w:val="0"/>
        <w:autoSpaceDE/>
        <w:autoSpaceDN/>
        <w:bidi w:val="0"/>
        <w:adjustRightInd/>
        <w:snapToGrid/>
        <w:spacing w:before="0" w:line="560" w:lineRule="exact"/>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各县区（开发区、湾里管理局）民政部门：</w:t>
      </w:r>
    </w:p>
    <w:p w14:paraId="7ABBC1A3">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为进一步规范居民家庭经济状况核对工作</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强化经济状况核对功能</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现将《南昌市居民家庭经济状况核对操作规程》印发给你们</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请结合本地实际</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认真贯彻执行。</w:t>
      </w:r>
    </w:p>
    <w:p w14:paraId="3E6B0552">
      <w:pPr>
        <w:pStyle w:val="12"/>
        <w:keepNext w:val="0"/>
        <w:keepLines w:val="0"/>
        <w:pageBreakBefore w:val="0"/>
        <w:kinsoku/>
        <w:wordWrap/>
        <w:overflowPunct/>
        <w:topLinePunct w:val="0"/>
        <w:bidi w:val="0"/>
        <w:snapToGrid/>
        <w:spacing w:before="0" w:line="560" w:lineRule="exact"/>
        <w:jc w:val="both"/>
        <w:rPr>
          <w:rFonts w:hint="eastAsia" w:ascii="方正仿宋_GB2312" w:hAnsi="方正仿宋_GB2312" w:eastAsia="方正仿宋_GB2312" w:cs="方正仿宋_GB2312"/>
          <w:sz w:val="32"/>
          <w:szCs w:val="32"/>
          <w:lang w:val="en-US" w:eastAsia="zh-CN"/>
        </w:rPr>
      </w:pPr>
    </w:p>
    <w:p w14:paraId="5DEC5921">
      <w:pPr>
        <w:pStyle w:val="12"/>
        <w:keepNext w:val="0"/>
        <w:keepLines w:val="0"/>
        <w:pageBreakBefore w:val="0"/>
        <w:kinsoku/>
        <w:wordWrap/>
        <w:overflowPunct/>
        <w:topLinePunct w:val="0"/>
        <w:bidi w:val="0"/>
        <w:snapToGrid/>
        <w:spacing w:before="0" w:line="560" w:lineRule="exact"/>
        <w:ind w:firstLine="640" w:firstLineChars="200"/>
        <w:jc w:val="both"/>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sz w:val="32"/>
          <w:szCs w:val="32"/>
          <w:lang w:val="en-US" w:eastAsia="zh-CN"/>
        </w:rPr>
        <w:t>附件：</w:t>
      </w:r>
      <w:r>
        <w:rPr>
          <w:rFonts w:hint="eastAsia" w:ascii="方正仿宋_GB2312" w:hAnsi="方正仿宋_GB2312" w:eastAsia="方正仿宋_GB2312" w:cs="方正仿宋_GB2312"/>
          <w:color w:val="auto"/>
          <w:sz w:val="32"/>
          <w:szCs w:val="32"/>
        </w:rPr>
        <w:t>南昌市居民家庭经济状况核对操作规程</w:t>
      </w:r>
    </w:p>
    <w:p w14:paraId="1011C00B">
      <w:pPr>
        <w:pStyle w:val="5"/>
        <w:keepNext w:val="0"/>
        <w:keepLines w:val="0"/>
        <w:pageBreakBefore w:val="0"/>
        <w:widowControl w:val="0"/>
        <w:kinsoku/>
        <w:wordWrap/>
        <w:overflowPunct/>
        <w:topLinePunct w:val="0"/>
        <w:autoSpaceDE w:val="0"/>
        <w:autoSpaceDN w:val="0"/>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p>
    <w:p w14:paraId="30F6626F">
      <w:pPr>
        <w:pStyle w:val="5"/>
        <w:keepNext w:val="0"/>
        <w:keepLines w:val="0"/>
        <w:pageBreakBefore w:val="0"/>
        <w:widowControl w:val="0"/>
        <w:kinsoku/>
        <w:wordWrap/>
        <w:overflowPunct/>
        <w:topLinePunct w:val="0"/>
        <w:autoSpaceDE w:val="0"/>
        <w:autoSpaceDN w:val="0"/>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color w:val="000000"/>
          <w:sz w:val="32"/>
          <w:szCs w:val="32"/>
          <w:lang w:val="en-US" w:eastAsia="zh-CN"/>
        </w:rPr>
        <w:t xml:space="preserve">          </w:t>
      </w:r>
    </w:p>
    <w:p w14:paraId="2D0943A1">
      <w:pPr>
        <w:pStyle w:val="5"/>
        <w:keepNext w:val="0"/>
        <w:keepLines w:val="0"/>
        <w:pageBreakBefore w:val="0"/>
        <w:widowControl w:val="0"/>
        <w:kinsoku/>
        <w:wordWrap/>
        <w:overflowPunct/>
        <w:topLinePunct w:val="0"/>
        <w:autoSpaceDE w:val="0"/>
        <w:autoSpaceDN w:val="0"/>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color w:val="000000"/>
          <w:sz w:val="32"/>
          <w:szCs w:val="32"/>
          <w:lang w:val="en-US" w:eastAsia="zh-CN"/>
        </w:rPr>
      </w:pPr>
    </w:p>
    <w:p w14:paraId="061D3166">
      <w:pPr>
        <w:pStyle w:val="5"/>
        <w:keepNext w:val="0"/>
        <w:keepLines w:val="0"/>
        <w:pageBreakBefore w:val="0"/>
        <w:widowControl w:val="0"/>
        <w:kinsoku/>
        <w:wordWrap/>
        <w:overflowPunct/>
        <w:topLinePunct w:val="0"/>
        <w:autoSpaceDE w:val="0"/>
        <w:autoSpaceDN w:val="0"/>
        <w:bidi w:val="0"/>
        <w:adjustRightInd/>
        <w:snapToGrid/>
        <w:spacing w:before="0" w:line="560" w:lineRule="exact"/>
        <w:ind w:firstLine="5440" w:firstLineChars="17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color w:val="000000"/>
          <w:sz w:val="32"/>
          <w:szCs w:val="32"/>
        </w:rPr>
        <w:t>20</w:t>
      </w:r>
      <w:r>
        <w:rPr>
          <w:rFonts w:hint="eastAsia" w:ascii="方正仿宋_GB2312" w:hAnsi="方正仿宋_GB2312" w:eastAsia="方正仿宋_GB2312" w:cs="方正仿宋_GB2312"/>
          <w:color w:val="000000"/>
          <w:sz w:val="32"/>
          <w:szCs w:val="32"/>
          <w:lang w:val="en-US" w:eastAsia="zh-CN"/>
        </w:rPr>
        <w:t>22</w:t>
      </w:r>
      <w:r>
        <w:rPr>
          <w:rFonts w:hint="eastAsia" w:ascii="方正仿宋_GB2312" w:hAnsi="方正仿宋_GB2312" w:eastAsia="方正仿宋_GB2312" w:cs="方正仿宋_GB2312"/>
          <w:color w:val="000000"/>
          <w:sz w:val="32"/>
          <w:szCs w:val="32"/>
        </w:rPr>
        <w:t>年</w:t>
      </w:r>
      <w:r>
        <w:rPr>
          <w:rFonts w:hint="eastAsia" w:ascii="方正仿宋_GB2312" w:hAnsi="方正仿宋_GB2312" w:eastAsia="方正仿宋_GB2312" w:cs="方正仿宋_GB2312"/>
          <w:color w:val="000000"/>
          <w:sz w:val="32"/>
          <w:szCs w:val="32"/>
          <w:lang w:val="en-US" w:eastAsia="zh-CN"/>
        </w:rPr>
        <w:t>9</w:t>
      </w:r>
      <w:r>
        <w:rPr>
          <w:rFonts w:hint="eastAsia" w:ascii="方正仿宋_GB2312" w:hAnsi="方正仿宋_GB2312" w:eastAsia="方正仿宋_GB2312" w:cs="方正仿宋_GB2312"/>
          <w:color w:val="000000"/>
          <w:sz w:val="32"/>
          <w:szCs w:val="32"/>
        </w:rPr>
        <w:t>月</w:t>
      </w: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rPr>
        <w:t xml:space="preserve">日 </w:t>
      </w:r>
    </w:p>
    <w:p w14:paraId="49264C67">
      <w:pPr>
        <w:pStyle w:val="5"/>
        <w:keepNext w:val="0"/>
        <w:keepLines w:val="0"/>
        <w:pageBreakBefore w:val="0"/>
        <w:kinsoku/>
        <w:wordWrap/>
        <w:overflowPunct/>
        <w:topLinePunct w:val="0"/>
        <w:autoSpaceDE w:val="0"/>
        <w:autoSpaceDN w:val="0"/>
        <w:bidi w:val="0"/>
        <w:adjustRightInd/>
        <w:snapToGrid/>
        <w:spacing w:before="0" w:line="560" w:lineRule="exact"/>
        <w:jc w:val="both"/>
        <w:textAlignment w:val="auto"/>
        <w:rPr>
          <w:rFonts w:hint="eastAsia" w:ascii="方正小标宋简体" w:hAnsi="方正小标宋简体" w:eastAsia="方正小标宋简体" w:cs="方正小标宋简体"/>
          <w:b w:val="0"/>
          <w:bCs w:val="0"/>
          <w:sz w:val="44"/>
          <w:szCs w:val="44"/>
          <w:lang w:val="zh-CN" w:eastAsia="zh-CN" w:bidi="zh-CN"/>
        </w:rPr>
      </w:pPr>
    </w:p>
    <w:p w14:paraId="1929F9C1">
      <w:pPr>
        <w:pStyle w:val="5"/>
        <w:keepNext w:val="0"/>
        <w:keepLines w:val="0"/>
        <w:pageBreakBefore w:val="0"/>
        <w:kinsoku/>
        <w:wordWrap/>
        <w:overflowPunct/>
        <w:topLinePunct w:val="0"/>
        <w:autoSpaceDE w:val="0"/>
        <w:autoSpaceDN w:val="0"/>
        <w:bidi w:val="0"/>
        <w:adjustRightInd/>
        <w:snapToGrid/>
        <w:spacing w:before="0" w:line="560" w:lineRule="exact"/>
        <w:jc w:val="both"/>
        <w:textAlignment w:val="auto"/>
        <w:rPr>
          <w:rFonts w:hint="eastAsia" w:ascii="方正小标宋简体" w:hAnsi="方正小标宋简体" w:eastAsia="方正小标宋简体" w:cs="方正小标宋简体"/>
          <w:b w:val="0"/>
          <w:bCs w:val="0"/>
          <w:sz w:val="44"/>
          <w:szCs w:val="44"/>
          <w:lang w:val="zh-CN" w:eastAsia="zh-CN" w:bidi="zh-CN"/>
        </w:rPr>
      </w:pPr>
    </w:p>
    <w:p w14:paraId="55748EEB">
      <w:pPr>
        <w:pStyle w:val="5"/>
        <w:keepNext w:val="0"/>
        <w:keepLines w:val="0"/>
        <w:pageBreakBefore w:val="0"/>
        <w:kinsoku/>
        <w:wordWrap/>
        <w:overflowPunct/>
        <w:topLinePunct w:val="0"/>
        <w:autoSpaceDE w:val="0"/>
        <w:autoSpaceDN w:val="0"/>
        <w:bidi w:val="0"/>
        <w:adjustRightInd/>
        <w:snapToGrid/>
        <w:spacing w:before="0" w:line="560" w:lineRule="exact"/>
        <w:jc w:val="both"/>
        <w:textAlignment w:val="auto"/>
        <w:rPr>
          <w:rFonts w:hint="eastAsia" w:ascii="方正小标宋简体" w:hAnsi="方正小标宋简体" w:eastAsia="方正小标宋简体" w:cs="方正小标宋简体"/>
          <w:b w:val="0"/>
          <w:bCs w:val="0"/>
          <w:sz w:val="44"/>
          <w:szCs w:val="44"/>
          <w:lang w:val="zh-CN" w:eastAsia="zh-CN" w:bidi="zh-CN"/>
        </w:rPr>
      </w:pPr>
    </w:p>
    <w:p w14:paraId="7245F33A">
      <w:pPr>
        <w:pStyle w:val="12"/>
        <w:keepNext w:val="0"/>
        <w:keepLines w:val="0"/>
        <w:pageBreakBefore w:val="0"/>
        <w:kinsoku/>
        <w:wordWrap/>
        <w:overflowPunct/>
        <w:topLinePunct w:val="0"/>
        <w:autoSpaceDE w:val="0"/>
        <w:autoSpaceDN w:val="0"/>
        <w:bidi w:val="0"/>
        <w:snapToGrid/>
        <w:spacing w:before="0" w:line="560" w:lineRule="exact"/>
        <w:jc w:val="center"/>
        <w:rPr>
          <w:rFonts w:hint="eastAsia" w:ascii="方正小标宋简体" w:hAnsi="华文仿宋" w:eastAsia="方正小标宋简体"/>
          <w:color w:val="auto"/>
          <w:sz w:val="44"/>
          <w:szCs w:val="44"/>
        </w:rPr>
        <w:sectPr>
          <w:footerReference r:id="rId5" w:type="default"/>
          <w:pgSz w:w="11910" w:h="16840"/>
          <w:pgMar w:top="1560" w:right="1520" w:bottom="1160" w:left="1660" w:header="0" w:footer="975" w:gutter="0"/>
          <w:pgNumType w:fmt="numberInDash"/>
          <w:cols w:space="720" w:num="1"/>
        </w:sectPr>
      </w:pPr>
    </w:p>
    <w:p w14:paraId="1FD7159A">
      <w:pPr>
        <w:pStyle w:val="12"/>
        <w:keepNext w:val="0"/>
        <w:keepLines w:val="0"/>
        <w:pageBreakBefore w:val="0"/>
        <w:kinsoku/>
        <w:wordWrap/>
        <w:overflowPunct/>
        <w:topLinePunct w:val="0"/>
        <w:autoSpaceDE w:val="0"/>
        <w:autoSpaceDN w:val="0"/>
        <w:bidi w:val="0"/>
        <w:snapToGrid/>
        <w:spacing w:before="0" w:line="560" w:lineRule="exact"/>
        <w:jc w:val="center"/>
        <w:rPr>
          <w:rFonts w:hint="eastAsia" w:ascii="方正小标宋简体" w:hAnsi="华文仿宋" w:eastAsia="方正小标宋简体"/>
          <w:color w:val="auto"/>
          <w:sz w:val="44"/>
          <w:szCs w:val="44"/>
        </w:rPr>
      </w:pPr>
      <w:r>
        <w:rPr>
          <w:rFonts w:hint="eastAsia" w:ascii="方正小标宋简体" w:hAnsi="华文仿宋" w:eastAsia="方正小标宋简体"/>
          <w:color w:val="auto"/>
          <w:sz w:val="44"/>
          <w:szCs w:val="44"/>
        </w:rPr>
        <w:t>南昌市居民家庭经济状况核对操作规程</w:t>
      </w:r>
    </w:p>
    <w:p w14:paraId="50A3FCB6">
      <w:pPr>
        <w:pStyle w:val="12"/>
        <w:keepNext w:val="0"/>
        <w:keepLines w:val="0"/>
        <w:pageBreakBefore w:val="0"/>
        <w:kinsoku/>
        <w:wordWrap/>
        <w:overflowPunct/>
        <w:topLinePunct w:val="0"/>
        <w:autoSpaceDE w:val="0"/>
        <w:autoSpaceDN w:val="0"/>
        <w:bidi w:val="0"/>
        <w:snapToGrid/>
        <w:spacing w:before="0" w:line="560" w:lineRule="exact"/>
        <w:jc w:val="both"/>
        <w:rPr>
          <w:rFonts w:hint="eastAsia" w:ascii="方正小标宋简体" w:hAnsi="华文仿宋" w:eastAsia="方正小标宋简体"/>
          <w:color w:val="auto"/>
          <w:sz w:val="44"/>
          <w:szCs w:val="44"/>
        </w:rPr>
      </w:pPr>
    </w:p>
    <w:p w14:paraId="181AB1ED">
      <w:pPr>
        <w:keepNext w:val="0"/>
        <w:keepLines w:val="0"/>
        <w:pageBreakBefore w:val="0"/>
        <w:widowControl/>
        <w:shd w:val="clear" w:color="auto" w:fill="FFFFFF"/>
        <w:kinsoku/>
        <w:wordWrap/>
        <w:overflowPunct/>
        <w:topLinePunct w:val="0"/>
        <w:autoSpaceDE w:val="0"/>
        <w:autoSpaceDN w:val="0"/>
        <w:bidi w:val="0"/>
        <w:adjustRightInd/>
        <w:snapToGrid/>
        <w:spacing w:before="0" w:line="560" w:lineRule="exact"/>
        <w:ind w:firstLine="0" w:firstLineChars="0"/>
        <w:jc w:val="center"/>
        <w:textAlignment w:val="auto"/>
        <w:rPr>
          <w:rFonts w:hint="eastAsia" w:ascii="黑体" w:hAnsi="黑体" w:eastAsia="黑体" w:cs="宋体"/>
          <w:bCs/>
          <w:kern w:val="0"/>
          <w:sz w:val="32"/>
          <w:szCs w:val="32"/>
        </w:rPr>
      </w:pPr>
      <w:r>
        <w:rPr>
          <w:rFonts w:hint="eastAsia" w:ascii="黑体" w:hAnsi="黑体" w:eastAsia="黑体" w:cs="宋体"/>
          <w:bCs/>
          <w:kern w:val="0"/>
          <w:sz w:val="32"/>
          <w:szCs w:val="32"/>
        </w:rPr>
        <w:t>第一章</w:t>
      </w:r>
      <w:r>
        <w:rPr>
          <w:rFonts w:hint="eastAsia" w:ascii="华文仿宋" w:hAnsi="华文仿宋" w:eastAsia="黑体" w:cs="宋体"/>
          <w:bCs/>
          <w:kern w:val="0"/>
          <w:sz w:val="32"/>
          <w:szCs w:val="32"/>
        </w:rPr>
        <w:t> </w:t>
      </w:r>
      <w:r>
        <w:rPr>
          <w:rFonts w:hint="eastAsia" w:ascii="华文仿宋" w:hAnsi="华文仿宋" w:eastAsia="黑体" w:cs="宋体"/>
          <w:bCs/>
          <w:kern w:val="0"/>
          <w:sz w:val="32"/>
          <w:szCs w:val="32"/>
          <w:lang w:val="en-US" w:eastAsia="zh-CN"/>
        </w:rPr>
        <w:t xml:space="preserve">  </w:t>
      </w:r>
      <w:r>
        <w:rPr>
          <w:rFonts w:hint="eastAsia" w:ascii="黑体" w:hAnsi="黑体" w:eastAsia="黑体" w:cs="宋体"/>
          <w:bCs/>
          <w:kern w:val="0"/>
          <w:sz w:val="32"/>
          <w:szCs w:val="32"/>
        </w:rPr>
        <w:t>总</w:t>
      </w:r>
      <w:r>
        <w:rPr>
          <w:rFonts w:hint="eastAsia" w:ascii="黑体" w:hAnsi="黑体" w:eastAsia="黑体" w:cs="宋体"/>
          <w:bCs/>
          <w:kern w:val="0"/>
          <w:sz w:val="32"/>
          <w:szCs w:val="32"/>
          <w:lang w:val="en-US" w:eastAsia="zh-CN"/>
        </w:rPr>
        <w:t xml:space="preserve"> </w:t>
      </w:r>
      <w:r>
        <w:rPr>
          <w:rFonts w:hint="eastAsia" w:ascii="黑体" w:hAnsi="黑体" w:eastAsia="黑体" w:cs="宋体"/>
          <w:bCs/>
          <w:kern w:val="0"/>
          <w:sz w:val="32"/>
          <w:szCs w:val="32"/>
        </w:rPr>
        <w:t xml:space="preserve"> 则</w:t>
      </w:r>
    </w:p>
    <w:p w14:paraId="30EF14C9">
      <w:pPr>
        <w:pStyle w:val="2"/>
        <w:keepNext w:val="0"/>
        <w:keepLines w:val="0"/>
        <w:pageBreakBefore w:val="0"/>
        <w:kinsoku/>
        <w:wordWrap/>
        <w:overflowPunct/>
        <w:topLinePunct w:val="0"/>
        <w:autoSpaceDE w:val="0"/>
        <w:autoSpaceDN w:val="0"/>
        <w:bidi w:val="0"/>
        <w:snapToGrid/>
        <w:spacing w:line="560" w:lineRule="exact"/>
        <w:rPr>
          <w:rFonts w:hint="eastAsia"/>
        </w:rPr>
      </w:pPr>
    </w:p>
    <w:p w14:paraId="10C20823">
      <w:pPr>
        <w:keepNext w:val="0"/>
        <w:keepLines w:val="0"/>
        <w:pageBreakBefore w:val="0"/>
        <w:widowControl/>
        <w:shd w:val="clear" w:color="auto" w:fill="FFFFFF"/>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一</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为进一步规范全市居民家庭经济状况核对行为，维护社会救助公平正义，促进社会和谐稳定发展，根据《江西省居民家庭经济状况核对办法》（赣府厅发〔2014〕61号）和《江西省居民家庭经济状况核对操作规程》（赣民发〔20</w:t>
      </w:r>
      <w:r>
        <w:rPr>
          <w:rFonts w:hint="eastAsia" w:ascii="方正仿宋_GB2312" w:hAnsi="方正仿宋_GB2312" w:eastAsia="方正仿宋_GB2312" w:cs="方正仿宋_GB2312"/>
          <w:sz w:val="32"/>
          <w:szCs w:val="32"/>
          <w:lang w:val="en-US" w:eastAsia="zh-CN"/>
        </w:rPr>
        <w:t>21</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号）等相关规定，结合我市实际，制定本操作规程。</w:t>
      </w:r>
    </w:p>
    <w:p w14:paraId="4DC22BCA">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本规程适用于在本</w:t>
      </w:r>
      <w:r>
        <w:rPr>
          <w:rFonts w:hint="eastAsia" w:ascii="方正仿宋_GB2312" w:hAnsi="方正仿宋_GB2312" w:eastAsia="方正仿宋_GB2312" w:cs="方正仿宋_GB2312"/>
          <w:sz w:val="32"/>
          <w:szCs w:val="32"/>
          <w:lang w:eastAsia="zh-CN"/>
        </w:rPr>
        <w:t>市</w:t>
      </w:r>
      <w:r>
        <w:rPr>
          <w:rFonts w:hint="eastAsia" w:ascii="方正仿宋_GB2312" w:hAnsi="方正仿宋_GB2312" w:eastAsia="方正仿宋_GB2312" w:cs="方正仿宋_GB2312"/>
          <w:sz w:val="32"/>
          <w:szCs w:val="32"/>
        </w:rPr>
        <w:t>行政区域内，依据公民有效授权和有关部门或者单位合法委托，对申请或者已经获得社会救助的家庭的指定时期经济状况，通过部门信息共享开展调查、核实及出具书面报告的行为。</w:t>
      </w:r>
    </w:p>
    <w:p w14:paraId="149E2463">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前款中接受调查、核实的申请或者已经获得社会救助的家庭，以下统称为核对对象；提出委托的部门或者单位，以下统称为委托单位。</w:t>
      </w:r>
    </w:p>
    <w:p w14:paraId="1E7A6866">
      <w:pPr>
        <w:keepNext w:val="0"/>
        <w:keepLines w:val="0"/>
        <w:pageBreakBefore w:val="0"/>
        <w:widowControl/>
        <w:numPr>
          <w:ilvl w:val="0"/>
          <w:numId w:val="0"/>
        </w:numPr>
        <w:shd w:val="clear" w:color="auto" w:fill="FFFFFF"/>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县级以上人民政府民政部门是居民家庭经济状况核对工作的主管部门，应当明确承担本行政区域内居民家庭经济状况核对具体工作的机构和人员。</w:t>
      </w:r>
    </w:p>
    <w:p w14:paraId="5A9557F1">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前款中负责本行政区域内居民家庭经济状况核对具体工作的机构，以下统称为核对机构。</w:t>
      </w:r>
    </w:p>
    <w:p w14:paraId="0C2083A1">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四</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居民家庭经济状况核对工作遵循以下原则：</w:t>
      </w:r>
    </w:p>
    <w:p w14:paraId="2F5A83E3">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依法核对。核对机构接受委托单位提出的核对申请，委托单位应当提交核对对象的书面合法授权和委托单位的书面委托；接受其他核对机构的核对申请，核对申请材料的合法性和完整性由发起核对申请的核对机构负责。</w:t>
      </w:r>
    </w:p>
    <w:p w14:paraId="25CBAF3D">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（二）科学核对。利用网络互联互通，遵循统一行业标准，准确采集居民家庭经济状况数据，开展信息核对，为精准识别对象提供客观有效的依据。</w:t>
      </w:r>
    </w:p>
    <w:p w14:paraId="1FC3B9C9">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（三）高效核对。通过建立跨部门、多层次的核对平台，整合信息资源，优化管理流程，实现数据及时交换，提高工作效率。</w:t>
      </w:r>
    </w:p>
    <w:p w14:paraId="42A37114">
      <w:pPr>
        <w:keepNext w:val="0"/>
        <w:keepLines w:val="0"/>
        <w:pageBreakBefore w:val="0"/>
        <w:kinsoku/>
        <w:wordWrap/>
        <w:overflowPunct/>
        <w:topLinePunct w:val="0"/>
        <w:autoSpaceDE w:val="0"/>
        <w:autoSpaceDN w:val="0"/>
        <w:bidi w:val="0"/>
        <w:snapToGrid/>
        <w:spacing w:before="0" w:line="560" w:lineRule="exact"/>
        <w:ind w:firstLine="640" w:firstLineChars="200"/>
        <w:jc w:val="both"/>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sz w:val="32"/>
          <w:szCs w:val="32"/>
        </w:rPr>
        <w:t>（四）安全核对。核对机构应严格按照信息安全管理相关规定开展核对工作，落实专人专岗，切实保护核对对象的个人隐私和合法权益。</w:t>
      </w:r>
    </w:p>
    <w:p w14:paraId="5AF4A715">
      <w:pPr>
        <w:pStyle w:val="13"/>
        <w:keepNext w:val="0"/>
        <w:keepLines w:val="0"/>
        <w:pageBreakBefore w:val="0"/>
        <w:suppressAutoHyphens/>
        <w:kinsoku/>
        <w:wordWrap/>
        <w:overflowPunct/>
        <w:topLinePunct w:val="0"/>
        <w:autoSpaceDE w:val="0"/>
        <w:autoSpaceDN w:val="0"/>
        <w:bidi w:val="0"/>
        <w:snapToGrid/>
        <w:spacing w:line="560" w:lineRule="exact"/>
        <w:ind w:firstLine="640" w:firstLineChars="200"/>
        <w:jc w:val="both"/>
        <w:rPr>
          <w:rFonts w:hint="eastAsia" w:ascii="华文仿宋" w:hAnsi="华文仿宋" w:eastAsia="华文仿宋" w:cs="华文仿宋"/>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五</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居民家庭经济状况核对工作依托江西省居民家庭经济状况核对平台（以下简称“核对平台”）实施，通过与户籍管理、税务、社会保险、不动产登记、市场主体登记、住房公积金管理、车船管理等单位和银行等金融机构信息共享，调查、核实核对对象经济状况。</w:t>
      </w:r>
    </w:p>
    <w:p w14:paraId="1C1F4E0A">
      <w:pPr>
        <w:pStyle w:val="13"/>
        <w:keepNext w:val="0"/>
        <w:keepLines w:val="0"/>
        <w:pageBreakBefore w:val="0"/>
        <w:suppressAutoHyphens/>
        <w:kinsoku/>
        <w:wordWrap/>
        <w:overflowPunct/>
        <w:topLinePunct w:val="0"/>
        <w:bidi w:val="0"/>
        <w:snapToGrid/>
        <w:spacing w:line="560" w:lineRule="exact"/>
        <w:ind w:firstLine="640" w:firstLineChars="200"/>
        <w:jc w:val="both"/>
        <w:rPr>
          <w:rFonts w:hint="eastAsia" w:ascii="华文仿宋" w:hAnsi="华文仿宋" w:eastAsia="华文仿宋" w:cs="华文仿宋"/>
          <w:sz w:val="32"/>
          <w:szCs w:val="32"/>
        </w:rPr>
      </w:pPr>
    </w:p>
    <w:p w14:paraId="523A6CF6">
      <w:pPr>
        <w:keepNext w:val="0"/>
        <w:keepLines w:val="0"/>
        <w:pageBreakBefore w:val="0"/>
        <w:widowControl/>
        <w:shd w:val="clear" w:color="auto" w:fill="FFFFFF"/>
        <w:kinsoku/>
        <w:wordWrap/>
        <w:overflowPunct/>
        <w:topLinePunct w:val="0"/>
        <w:autoSpaceDE w:val="0"/>
        <w:autoSpaceDN w:val="0"/>
        <w:bidi w:val="0"/>
        <w:adjustRightInd/>
        <w:snapToGrid/>
        <w:spacing w:before="0" w:line="560" w:lineRule="exact"/>
        <w:jc w:val="center"/>
        <w:textAlignment w:val="auto"/>
        <w:rPr>
          <w:rFonts w:hint="eastAsia" w:ascii="方正楷体_GBK" w:hAnsi="方正楷体_GBK" w:eastAsia="方正楷体_GBK" w:cs="方正楷体_GBK"/>
          <w:b w:val="0"/>
          <w:bCs w:val="0"/>
          <w:kern w:val="0"/>
          <w:sz w:val="32"/>
          <w:szCs w:val="32"/>
        </w:rPr>
      </w:pPr>
      <w:r>
        <w:rPr>
          <w:rFonts w:hint="eastAsia" w:ascii="黑体" w:hAnsi="黑体" w:eastAsia="黑体" w:cs="宋体"/>
          <w:bCs/>
          <w:kern w:val="0"/>
          <w:sz w:val="32"/>
          <w:szCs w:val="32"/>
        </w:rPr>
        <w:t xml:space="preserve">第二章  </w:t>
      </w:r>
      <w:r>
        <w:rPr>
          <w:rFonts w:hint="eastAsia" w:ascii="黑体" w:hAnsi="黑体" w:eastAsia="黑体" w:cs="宋体"/>
          <w:bCs/>
          <w:kern w:val="0"/>
          <w:sz w:val="32"/>
          <w:szCs w:val="32"/>
          <w:lang w:val="en-US" w:eastAsia="zh-CN"/>
        </w:rPr>
        <w:t>工作职责</w:t>
      </w:r>
    </w:p>
    <w:p w14:paraId="025BCF53">
      <w:pPr>
        <w:keepNext w:val="0"/>
        <w:keepLines w:val="0"/>
        <w:pageBreakBefore w:val="0"/>
        <w:kinsoku/>
        <w:wordWrap/>
        <w:overflowPunct/>
        <w:topLinePunct w:val="0"/>
        <w:bidi w:val="0"/>
        <w:snapToGrid/>
        <w:spacing w:before="0" w:line="560" w:lineRule="exact"/>
        <w:ind w:firstLine="640" w:firstLineChars="200"/>
        <w:jc w:val="both"/>
        <w:rPr>
          <w:rFonts w:hint="eastAsia" w:ascii="方正仿宋简体" w:hAnsi="华文仿宋" w:eastAsia="方正仿宋简体" w:cs="Times New Roman"/>
          <w:b/>
          <w:color w:val="auto"/>
          <w:kern w:val="0"/>
          <w:sz w:val="32"/>
          <w:szCs w:val="32"/>
          <w:lang w:val="zh-CN" w:eastAsia="zh-CN" w:bidi="ar-SA"/>
        </w:rPr>
      </w:pPr>
    </w:p>
    <w:p w14:paraId="55E7DBA2">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六</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市级核对机构负责协调同级信息共享单位开展数据交换，指导本行政区域内县级核对机构开展数据交换；接受省级或本行政区域内县级核对机构发送的信息查询请求并反馈查询结果。</w:t>
      </w:r>
    </w:p>
    <w:p w14:paraId="1161613A">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七</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县级核对机构负责协调同级信息共享单位开展数据交换；接受乡镇人民政府、街道办事处、同级社会救助管理部门等提出的核对申请，或者经上级核对机构授权，接受上级委托单位提出的核对申请，完成材料审核、发送信息查询请求、出具并交付核对报告等工作。</w:t>
      </w:r>
    </w:p>
    <w:p w14:paraId="1CB74444">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华文仿宋" w:hAnsi="华文仿宋" w:eastAsia="华文仿宋" w:cs="华文仿宋"/>
          <w:sz w:val="32"/>
          <w:szCs w:val="32"/>
        </w:rPr>
      </w:pPr>
    </w:p>
    <w:p w14:paraId="703668EF">
      <w:pPr>
        <w:keepNext w:val="0"/>
        <w:keepLines w:val="0"/>
        <w:pageBreakBefore w:val="0"/>
        <w:widowControl/>
        <w:shd w:val="clear" w:color="auto" w:fill="FFFFFF"/>
        <w:kinsoku/>
        <w:wordWrap/>
        <w:overflowPunct/>
        <w:topLinePunct w:val="0"/>
        <w:bidi w:val="0"/>
        <w:snapToGrid/>
        <w:spacing w:before="0" w:line="560" w:lineRule="exact"/>
        <w:jc w:val="center"/>
        <w:rPr>
          <w:rFonts w:hint="default" w:ascii="方正楷体_GBK" w:hAnsi="方正楷体_GBK" w:eastAsia="方正楷体_GBK" w:cs="方正楷体_GBK"/>
          <w:b w:val="0"/>
          <w:bCs w:val="0"/>
          <w:kern w:val="0"/>
          <w:sz w:val="32"/>
          <w:szCs w:val="32"/>
          <w:lang w:val="en-US"/>
        </w:rPr>
      </w:pPr>
      <w:r>
        <w:rPr>
          <w:rFonts w:hint="eastAsia" w:ascii="黑体" w:hAnsi="黑体" w:eastAsia="黑体" w:cs="宋体"/>
          <w:bCs/>
          <w:kern w:val="0"/>
          <w:sz w:val="32"/>
          <w:szCs w:val="32"/>
        </w:rPr>
        <w:t>第</w:t>
      </w:r>
      <w:r>
        <w:rPr>
          <w:rFonts w:hint="eastAsia" w:ascii="黑体" w:hAnsi="黑体" w:eastAsia="黑体" w:cs="宋体"/>
          <w:bCs/>
          <w:kern w:val="0"/>
          <w:sz w:val="32"/>
          <w:szCs w:val="32"/>
          <w:lang w:val="en-US" w:eastAsia="zh-CN"/>
        </w:rPr>
        <w:t>三</w:t>
      </w:r>
      <w:r>
        <w:rPr>
          <w:rFonts w:hint="eastAsia" w:ascii="黑体" w:hAnsi="黑体" w:eastAsia="黑体" w:cs="宋体"/>
          <w:bCs/>
          <w:kern w:val="0"/>
          <w:sz w:val="32"/>
          <w:szCs w:val="32"/>
        </w:rPr>
        <w:t xml:space="preserve">章  </w:t>
      </w:r>
      <w:r>
        <w:rPr>
          <w:rFonts w:hint="eastAsia" w:ascii="黑体" w:hAnsi="黑体" w:eastAsia="黑体" w:cs="宋体"/>
          <w:bCs/>
          <w:kern w:val="0"/>
          <w:sz w:val="32"/>
          <w:szCs w:val="32"/>
          <w:lang w:val="en-US" w:eastAsia="zh-CN"/>
        </w:rPr>
        <w:t>受理申请</w:t>
      </w:r>
    </w:p>
    <w:p w14:paraId="5506848E">
      <w:pPr>
        <w:keepNext w:val="0"/>
        <w:keepLines w:val="0"/>
        <w:pageBreakBefore w:val="0"/>
        <w:widowControl w:val="0"/>
        <w:kinsoku/>
        <w:wordWrap/>
        <w:overflowPunct/>
        <w:topLinePunct w:val="0"/>
        <w:autoSpaceDE/>
        <w:autoSpaceDN/>
        <w:bidi w:val="0"/>
        <w:adjustRightInd/>
        <w:snapToGrid/>
        <w:spacing w:before="0" w:line="560" w:lineRule="exact"/>
        <w:ind w:firstLine="0"/>
        <w:jc w:val="both"/>
        <w:textAlignment w:val="auto"/>
        <w:rPr>
          <w:rFonts w:hint="default" w:ascii="仿宋_GB2312" w:hAnsi="仿宋_GB2312" w:eastAsia="黑体" w:cs="仿宋_GB2312"/>
          <w:sz w:val="32"/>
          <w:szCs w:val="32"/>
          <w:lang w:val="en-US" w:eastAsia="zh-CN"/>
        </w:rPr>
      </w:pPr>
    </w:p>
    <w:p w14:paraId="2672672E">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八</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县级核对机构通过核对平台，接收乡镇人民政府、街道办事处、同级社会救助管理部门或者上级委托单位发送的核对申请信息及相关材料，同时接收送交的纸质材料。</w:t>
      </w:r>
    </w:p>
    <w:p w14:paraId="151EBBF5">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九</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核对申请应当包括如下材料：</w:t>
      </w:r>
    </w:p>
    <w:p w14:paraId="559EC453">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（一）《江西省社会救助申请及核对授权书》，以电子授权方式为主，因特殊原因导致无法使用电子授权的，可以使用纸质授权；</w:t>
      </w:r>
    </w:p>
    <w:p w14:paraId="3A0C02B9">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（二）《江西省社会救助申请家庭经济状况核对委托书》；</w:t>
      </w:r>
    </w:p>
    <w:p w14:paraId="09BBE1EA">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（三）核对对象的居民身份证，未办理居民身份证的，可以使用户口簿、护照等公安部门发放、认可的有效身份证件；</w:t>
      </w:r>
    </w:p>
    <w:p w14:paraId="3A786571">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color w:val="000000"/>
          <w:sz w:val="32"/>
          <w:highlight w:val="none"/>
        </w:rPr>
        <w:t>（四）使用纸质授权的</w:t>
      </w:r>
      <w:r>
        <w:rPr>
          <w:rFonts w:hint="eastAsia" w:ascii="方正仿宋_GB2312" w:hAnsi="方正仿宋_GB2312" w:eastAsia="方正仿宋_GB2312" w:cs="方正仿宋_GB2312"/>
          <w:color w:val="000000"/>
          <w:sz w:val="32"/>
          <w:szCs w:val="32"/>
          <w:highlight w:val="none"/>
        </w:rPr>
        <w:t>核对对象因在外地无法在</w:t>
      </w:r>
      <w:r>
        <w:rPr>
          <w:rFonts w:hint="eastAsia" w:ascii="方正仿宋_GB2312" w:hAnsi="方正仿宋_GB2312" w:eastAsia="方正仿宋_GB2312" w:cs="方正仿宋_GB2312"/>
          <w:color w:val="000000"/>
          <w:sz w:val="32"/>
          <w:highlight w:val="none"/>
        </w:rPr>
        <w:t>《江西省社会救助申请及核对授权书》上</w:t>
      </w:r>
      <w:r>
        <w:rPr>
          <w:rFonts w:hint="eastAsia" w:ascii="方正仿宋_GB2312" w:hAnsi="方正仿宋_GB2312" w:eastAsia="方正仿宋_GB2312" w:cs="方正仿宋_GB2312"/>
          <w:color w:val="000000"/>
          <w:sz w:val="32"/>
          <w:szCs w:val="32"/>
          <w:highlight w:val="none"/>
        </w:rPr>
        <w:t>签字、按捺指纹的，应当提供《个人委托授权及法律责任声明书》。</w:t>
      </w:r>
    </w:p>
    <w:p w14:paraId="42328F7A">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县级核对机构对申请材料的合法性和完整性进行审核，确认符合要求的，正式受理申请，并将纸质材料保存归档；确认</w:t>
      </w:r>
      <w:r>
        <w:rPr>
          <w:rFonts w:hint="eastAsia" w:ascii="方正仿宋_GB2312" w:hAnsi="方正仿宋_GB2312" w:eastAsia="方正仿宋_GB2312" w:cs="方正仿宋_GB2312"/>
          <w:bCs/>
          <w:sz w:val="32"/>
          <w:szCs w:val="32"/>
          <w:highlight w:val="none"/>
        </w:rPr>
        <w:t>不符合要求的</w:t>
      </w:r>
      <w:r>
        <w:rPr>
          <w:rFonts w:hint="eastAsia" w:ascii="方正仿宋_GB2312" w:hAnsi="方正仿宋_GB2312" w:eastAsia="方正仿宋_GB2312" w:cs="方正仿宋_GB2312"/>
          <w:sz w:val="32"/>
          <w:szCs w:val="32"/>
          <w:highlight w:val="none"/>
        </w:rPr>
        <w:t>，将申请材料退回至委托单位，并告知不予受理的理由。</w:t>
      </w:r>
    </w:p>
    <w:p w14:paraId="66554DF2">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十一</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符合下列情形之一的，核对申请不予受理：</w:t>
      </w:r>
    </w:p>
    <w:p w14:paraId="66F6C102">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（一）未经核对对象本人授权；</w:t>
      </w:r>
    </w:p>
    <w:p w14:paraId="1EC25862">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（二）未按本规程第十条要求提供完整材料，且不能补充完整；</w:t>
      </w:r>
    </w:p>
    <w:p w14:paraId="07C4596A">
      <w:pPr>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（三）县级以上人民政府民政部门规定的其他情形。</w:t>
      </w:r>
    </w:p>
    <w:p w14:paraId="7CD88D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highlight w:val="none"/>
        </w:rPr>
      </w:pPr>
    </w:p>
    <w:p w14:paraId="7624E11B">
      <w:pPr>
        <w:keepNext w:val="0"/>
        <w:keepLines w:val="0"/>
        <w:pageBreakBefore w:val="0"/>
        <w:widowControl/>
        <w:shd w:val="clear" w:color="auto" w:fill="FFFFFF"/>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b w:val="0"/>
          <w:bCs w:val="0"/>
          <w:kern w:val="0"/>
          <w:sz w:val="32"/>
          <w:szCs w:val="32"/>
          <w:lang w:val="en-US"/>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信息查询及结果核验</w:t>
      </w:r>
    </w:p>
    <w:p w14:paraId="5D3AA4E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仿宋简体" w:hAnsi="华文仿宋" w:eastAsia="方正仿宋简体" w:cs="宋体"/>
          <w:b/>
          <w:bCs/>
          <w:kern w:val="0"/>
          <w:sz w:val="32"/>
          <w:szCs w:val="32"/>
          <w:highlight w:val="none"/>
          <w:lang w:val="en-US"/>
        </w:rPr>
      </w:pPr>
    </w:p>
    <w:p w14:paraId="63EADD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val="0"/>
          <w:bCs/>
          <w:sz w:val="32"/>
          <w:szCs w:val="32"/>
          <w:highlight w:val="none"/>
          <w:lang w:val="en-US" w:eastAsia="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十二</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b w:val="0"/>
          <w:bCs/>
          <w:sz w:val="32"/>
          <w:szCs w:val="32"/>
          <w:highlight w:val="none"/>
          <w:lang w:val="en-US" w:eastAsia="zh-CN"/>
        </w:rPr>
        <w:t>县级核对机构受理核对申请后，通过核对平台向市级核对机构发送信息查询请求。市级核对机构依据县级核对机构发送的信息查询请求，向同级或者上级信息共享单位发送信息查询请求。</w:t>
      </w:r>
    </w:p>
    <w:p w14:paraId="0094F7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十三</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lang w:val="zh-CN"/>
        </w:rPr>
        <w:t>市级核对机构</w:t>
      </w:r>
      <w:r>
        <w:rPr>
          <w:rFonts w:hint="eastAsia" w:ascii="方正仿宋_GB2312" w:hAnsi="方正仿宋_GB2312" w:eastAsia="方正仿宋_GB2312" w:cs="方正仿宋_GB2312"/>
          <w:sz w:val="32"/>
          <w:szCs w:val="32"/>
          <w:highlight w:val="none"/>
          <w:lang w:val="en-US" w:eastAsia="zh-CN"/>
        </w:rPr>
        <w:t>接收同级或上级信息共享单位反馈的查询结果，并通过核对平台向县级核对机构反馈；县级核对机构接收市级核对机构信息共享单位反馈的查询结果。</w:t>
      </w:r>
    </w:p>
    <w:p w14:paraId="5FFFA3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十四</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bCs/>
          <w:sz w:val="32"/>
          <w:szCs w:val="32"/>
          <w:highlight w:val="none"/>
        </w:rPr>
        <w:t>县级核对机构应对接收的查询结果</w:t>
      </w:r>
      <w:r>
        <w:rPr>
          <w:rFonts w:hint="eastAsia" w:ascii="方正仿宋_GB2312" w:hAnsi="方正仿宋_GB2312" w:eastAsia="方正仿宋_GB2312" w:cs="方正仿宋_GB2312"/>
          <w:bCs/>
          <w:sz w:val="32"/>
          <w:szCs w:val="32"/>
          <w:highlight w:val="none"/>
          <w:lang w:val="en-US" w:eastAsia="zh-CN"/>
        </w:rPr>
        <w:t>在2个工作日内完成比对和核验，并出具核对报告；信息共享单位在规定时间内反馈完整查询结果的，出具核对报告；</w:t>
      </w:r>
      <w:r>
        <w:rPr>
          <w:rFonts w:hint="eastAsia" w:ascii="方正仿宋_GB2312" w:hAnsi="方正仿宋_GB2312" w:eastAsia="方正仿宋_GB2312" w:cs="方正仿宋_GB2312"/>
          <w:sz w:val="32"/>
          <w:szCs w:val="32"/>
          <w:highlight w:val="none"/>
        </w:rPr>
        <w:t>查询结果有漏项、缺项的，按下列方式处理：</w:t>
      </w:r>
    </w:p>
    <w:p w14:paraId="4FA5A9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（一）委托单位认为漏项、缺项对甄别核对对象经济状况没有影响，同意停止查询的，出具核对报告，未出现在报告中的漏项、缺项应通过复查补充完善，确保结果完整；</w:t>
      </w:r>
    </w:p>
    <w:p w14:paraId="5F1284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（二）委托单位认为漏项、缺项对甄别核对对象经济状况有严重影响，不同意停止查询的，按照委托单位要求继续等待信息共享单位反馈查询结果；</w:t>
      </w:r>
    </w:p>
    <w:p w14:paraId="5B4585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（三）因核对对象提交的基础资料出现信息遗漏或不准确，导致信息共享单位无法反馈查询结果的，停止查询信息，核对对象基础信息修正后视情重新发送信息查询请求。</w:t>
      </w:r>
    </w:p>
    <w:p w14:paraId="5C4926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p>
    <w:p w14:paraId="12C6047A">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default" w:ascii="黑体" w:hAnsi="黑体" w:eastAsia="黑体" w:cs="黑体"/>
          <w:bCs/>
          <w:kern w:val="0"/>
          <w:sz w:val="32"/>
          <w:szCs w:val="32"/>
          <w:lang w:val="en-US" w:eastAsia="zh-CN"/>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出具核对报告</w:t>
      </w:r>
    </w:p>
    <w:p w14:paraId="4BD83DAF">
      <w:pPr>
        <w:pStyle w:val="2"/>
        <w:keepNext w:val="0"/>
        <w:keepLines w:val="0"/>
        <w:pageBreakBefore w:val="0"/>
        <w:kinsoku/>
        <w:wordWrap/>
        <w:overflowPunct/>
        <w:topLinePunct w:val="0"/>
        <w:bidi w:val="0"/>
        <w:snapToGrid/>
        <w:spacing w:line="560" w:lineRule="exact"/>
        <w:rPr>
          <w:rFonts w:hint="eastAsia"/>
          <w:lang w:val="zh-CN"/>
        </w:rPr>
      </w:pPr>
    </w:p>
    <w:p w14:paraId="5C775D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十五</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核对报告由核对平台整合信息共享单位反馈的查询结果自动生成，具有全省统一的编号和样式。</w:t>
      </w:r>
    </w:p>
    <w:p w14:paraId="674431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十六</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核对机构应向委托单位发送规范、完整的电子核对报告。电子核对报告可以通过核对平台直接发送或通过加密介质送交委托单位。</w:t>
      </w:r>
    </w:p>
    <w:p w14:paraId="19EF7F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十七</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color w:val="auto"/>
          <w:sz w:val="32"/>
          <w:szCs w:val="32"/>
          <w:highlight w:val="none"/>
          <w:lang w:val="zh-CN"/>
        </w:rPr>
        <w:t>核对</w:t>
      </w:r>
      <w:r>
        <w:rPr>
          <w:rFonts w:hint="eastAsia" w:ascii="方正仿宋_GB2312" w:hAnsi="方正仿宋_GB2312" w:eastAsia="方正仿宋_GB2312" w:cs="方正仿宋_GB2312"/>
          <w:color w:val="auto"/>
          <w:sz w:val="32"/>
          <w:szCs w:val="32"/>
          <w:highlight w:val="none"/>
          <w:lang w:val="en-US" w:eastAsia="zh-CN"/>
        </w:rPr>
        <w:t>机构应根据委托单位需要，向委托单位交付完整的纸质核对报告。纸质核对报告交付给委托单位时，应填写交接清单，明确交接的核对报告的编号及份数，并由交接人员签字确认。</w:t>
      </w:r>
    </w:p>
    <w:p w14:paraId="1D8945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十八</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核对报告应采用电子水印、电子签章、条形码或者二维码等方式防止伪造，在报告首页和尾页加盖县级核对机构完整公章。</w:t>
      </w:r>
    </w:p>
    <w:p w14:paraId="3539A3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十九</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核对报告仅作为委托单位作出社会救助审核确认决定或者认定特定对象资格的参考依据，不作其他用途。</w:t>
      </w:r>
    </w:p>
    <w:p w14:paraId="4E6DE2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rPr>
        <w:t>在委托单位接收核对报告后，核对机构应对核对实施过程中的各类文档进行归档。</w:t>
      </w:r>
    </w:p>
    <w:p w14:paraId="742D07F9">
      <w:pPr>
        <w:pStyle w:val="2"/>
        <w:rPr>
          <w:rFonts w:hint="eastAsia"/>
        </w:rPr>
      </w:pPr>
    </w:p>
    <w:p w14:paraId="355BBD1D">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Cs/>
          <w:kern w:val="0"/>
          <w:sz w:val="32"/>
          <w:szCs w:val="32"/>
        </w:rPr>
      </w:pPr>
    </w:p>
    <w:p w14:paraId="1C7F9D46">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Cs/>
          <w:kern w:val="0"/>
          <w:sz w:val="32"/>
          <w:szCs w:val="32"/>
        </w:rPr>
      </w:pPr>
    </w:p>
    <w:p w14:paraId="1163F579">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eastAsia" w:ascii="黑体" w:hAnsi="黑体" w:eastAsia="黑体" w:cs="黑体"/>
          <w:bCs/>
          <w:kern w:val="0"/>
          <w:sz w:val="32"/>
          <w:szCs w:val="32"/>
        </w:rPr>
      </w:pPr>
    </w:p>
    <w:p w14:paraId="6C964642">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hint="default" w:ascii="黑体" w:hAnsi="黑体" w:eastAsia="黑体" w:cs="黑体"/>
          <w:bCs/>
          <w:kern w:val="0"/>
          <w:sz w:val="32"/>
          <w:szCs w:val="32"/>
          <w:lang w:val="en-US" w:eastAsia="zh-CN"/>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六</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跨地域核对</w:t>
      </w:r>
    </w:p>
    <w:p w14:paraId="19F787DE">
      <w:pPr>
        <w:pStyle w:val="2"/>
        <w:keepNext w:val="0"/>
        <w:keepLines w:val="0"/>
        <w:pageBreakBefore w:val="0"/>
        <w:kinsoku/>
        <w:wordWrap/>
        <w:overflowPunct/>
        <w:topLinePunct w:val="0"/>
        <w:bidi w:val="0"/>
        <w:snapToGrid/>
        <w:spacing w:line="560" w:lineRule="exact"/>
        <w:rPr>
          <w:rFonts w:hint="eastAsia"/>
          <w:lang w:val="zh-CN"/>
        </w:rPr>
      </w:pPr>
    </w:p>
    <w:p w14:paraId="71D031B8">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sz w:val="32"/>
          <w:szCs w:val="32"/>
          <w:highlight w:val="none"/>
          <w:lang w:val="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二十一</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lang w:val="zh-CN"/>
        </w:rPr>
        <w:t>委托单位经过调查核实，确定核对对象在本行政区域范围外有就业或居住等情形，需要开展跨市域核对的，可向核对机构发起跨地域委托核对。</w:t>
      </w:r>
    </w:p>
    <w:p w14:paraId="2B12A4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sz w:val="32"/>
          <w:szCs w:val="32"/>
          <w:highlight w:val="none"/>
          <w:lang w:val="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二十二</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highlight w:val="none"/>
          <w:lang w:val="zh-CN"/>
        </w:rPr>
        <w:t>县级核对机构受理委托单位跨地域核对申请后，通过核对平台向市级核对机构提交，由市级核对机构向省级核对机构提出跨地域核对请求。</w:t>
      </w:r>
    </w:p>
    <w:p w14:paraId="2FAD4E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sz w:val="32"/>
          <w:szCs w:val="32"/>
          <w:highlight w:val="none"/>
          <w:lang w:val="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二十三</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color w:val="auto"/>
          <w:sz w:val="32"/>
          <w:szCs w:val="32"/>
          <w:highlight w:val="none"/>
          <w:lang w:val="zh-CN"/>
        </w:rPr>
        <w:t>省级核对机构依据跨地域核对请求，对需要进行跨地市核对的，向目标设区市级核对机构发送信息查询请求；对需要进行跨省核对的，向部级核对机构发送信息查询请求。</w:t>
      </w:r>
    </w:p>
    <w:p w14:paraId="7BB29D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b/>
          <w:bCs/>
          <w:kern w:val="0"/>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二十四</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发送信息查询请求的核对机构，通过核对平台接收信息查询结果，向发起跨地域核对申请的县级核对机构反馈。</w:t>
      </w:r>
    </w:p>
    <w:p w14:paraId="31B12E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二十五</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受理跨地域核对申请的县级核对机构按照本规程信息获取及结果核验、出具核对报告的有关规定，核验查询结果，向委托单位出具并交付跨地域核对报告，保证核对报告的完整性。</w:t>
      </w:r>
    </w:p>
    <w:p w14:paraId="0C24AA5E">
      <w:pPr>
        <w:pStyle w:val="2"/>
        <w:keepNext w:val="0"/>
        <w:keepLines w:val="0"/>
        <w:pageBreakBefore w:val="0"/>
        <w:kinsoku/>
        <w:wordWrap/>
        <w:overflowPunct/>
        <w:topLinePunct w:val="0"/>
        <w:bidi w:val="0"/>
        <w:snapToGrid/>
        <w:spacing w:line="560" w:lineRule="exact"/>
        <w:rPr>
          <w:rFonts w:hint="eastAsia"/>
        </w:rPr>
      </w:pPr>
    </w:p>
    <w:p w14:paraId="5380867A">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Cs/>
          <w:kern w:val="0"/>
          <w:sz w:val="32"/>
          <w:szCs w:val="32"/>
          <w:lang w:val="en-US" w:eastAsia="zh-CN"/>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七</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异议复核</w:t>
      </w:r>
    </w:p>
    <w:p w14:paraId="076C4135">
      <w:pPr>
        <w:pStyle w:val="2"/>
        <w:keepNext w:val="0"/>
        <w:keepLines w:val="0"/>
        <w:pageBreakBefore w:val="0"/>
        <w:kinsoku/>
        <w:wordWrap/>
        <w:overflowPunct/>
        <w:topLinePunct w:val="0"/>
        <w:bidi w:val="0"/>
        <w:snapToGrid/>
        <w:spacing w:line="560" w:lineRule="exact"/>
        <w:rPr>
          <w:rFonts w:hint="default"/>
          <w:lang w:val="en-US" w:eastAsia="zh-CN"/>
        </w:rPr>
      </w:pPr>
    </w:p>
    <w:p w14:paraId="72C71E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二十六</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b/>
          <w:bCs/>
          <w:kern w:val="0"/>
          <w:sz w:val="32"/>
          <w:szCs w:val="32"/>
          <w:lang w:val="en-US" w:eastAsia="zh-CN"/>
        </w:rPr>
        <w:t xml:space="preserve"> </w:t>
      </w:r>
      <w:r>
        <w:rPr>
          <w:rFonts w:hint="eastAsia" w:ascii="方正仿宋_GB2312" w:hAnsi="方正仿宋_GB2312" w:eastAsia="方正仿宋_GB2312" w:cs="方正仿宋_GB2312"/>
          <w:sz w:val="32"/>
          <w:szCs w:val="32"/>
        </w:rPr>
        <w:t>核对对象对核对报告中的核对项目结果产生异议的，可向委托单位提出书面复核申请。委托单位对确需复核的，自核对报告交付之日起15个工作日内，向出具核对报告的核对机构提交《江西省居民家庭经济状况复核申请表》。</w:t>
      </w:r>
    </w:p>
    <w:p w14:paraId="3A296F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对跨省核对报告有异议，需要复核的，按照反馈信息查询结果的省、自治区、直辖市有关规定执行。</w:t>
      </w:r>
    </w:p>
    <w:p w14:paraId="3FF4FD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二十七</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核对机构受理委托单位的异议复核申请后，参照本规程第十</w:t>
      </w:r>
      <w:r>
        <w:rPr>
          <w:rFonts w:hint="eastAsia" w:ascii="方正仿宋_GB2312" w:hAnsi="方正仿宋_GB2312" w:eastAsia="方正仿宋_GB2312" w:cs="方正仿宋_GB2312"/>
          <w:sz w:val="32"/>
          <w:szCs w:val="32"/>
          <w:lang w:val="en-US" w:eastAsia="zh-CN"/>
        </w:rPr>
        <w:t>二</w:t>
      </w:r>
      <w:r>
        <w:rPr>
          <w:rFonts w:hint="eastAsia" w:ascii="方正仿宋_GB2312" w:hAnsi="方正仿宋_GB2312" w:eastAsia="方正仿宋_GB2312" w:cs="方正仿宋_GB2312"/>
          <w:sz w:val="32"/>
          <w:szCs w:val="32"/>
        </w:rPr>
        <w:t>条规定对存在异议的核对项目结果开展复核：</w:t>
      </w:r>
    </w:p>
    <w:p w14:paraId="5A765C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（一）存在异议的核对项目结果由县级信息共享单位反馈的，县级核对机构负责核实；</w:t>
      </w:r>
    </w:p>
    <w:p w14:paraId="29CD3A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（二）存在异议的核对项目结果由市级信息共享单位反馈的，市级核对机构负责核实；</w:t>
      </w:r>
    </w:p>
    <w:p w14:paraId="363AB3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（三）存在异议的核对项目结果由省级信息共享单位反馈的，省级核对机构负责核实。</w:t>
      </w:r>
    </w:p>
    <w:p w14:paraId="0567DD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二十八</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受理异议复核申请的核对机构将复核结果书面反馈给委托单位。同一份报告中不同核对项目结果由不同核对机构分别核实的，由受理异议复核申请的核对机构负责汇总结果。</w:t>
      </w:r>
    </w:p>
    <w:p w14:paraId="13948A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二十九</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复核后核对对象仍对核对项目结果有异议的，核对机构以信息共享部门最终确认信息为准。</w:t>
      </w:r>
    </w:p>
    <w:p w14:paraId="6D10D35D">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Cs/>
          <w:kern w:val="0"/>
          <w:sz w:val="32"/>
          <w:szCs w:val="32"/>
        </w:rPr>
      </w:pPr>
    </w:p>
    <w:p w14:paraId="5FB5AC8A">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bCs/>
          <w:kern w:val="0"/>
          <w:sz w:val="32"/>
          <w:szCs w:val="32"/>
          <w:lang w:val="en-US" w:eastAsia="zh-CN"/>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八</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核对时限</w:t>
      </w:r>
    </w:p>
    <w:p w14:paraId="5D50AA6A">
      <w:pPr>
        <w:pStyle w:val="2"/>
        <w:keepNext w:val="0"/>
        <w:keepLines w:val="0"/>
        <w:pageBreakBefore w:val="0"/>
        <w:kinsoku/>
        <w:wordWrap/>
        <w:overflowPunct/>
        <w:topLinePunct w:val="0"/>
        <w:bidi w:val="0"/>
        <w:snapToGrid/>
        <w:spacing w:line="560" w:lineRule="exact"/>
        <w:rPr>
          <w:rFonts w:hint="default"/>
          <w:lang w:val="en-US" w:eastAsia="zh-CN"/>
        </w:rPr>
      </w:pPr>
    </w:p>
    <w:p w14:paraId="777940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lang w:val="en-US" w:eastAsia="zh-CN"/>
        </w:rPr>
        <w:t>核对机构应在受理核对委托之日起7个工作日完成核对，</w:t>
      </w:r>
      <w:r>
        <w:rPr>
          <w:rFonts w:hint="eastAsia" w:ascii="方正仿宋_GB2312" w:hAnsi="方正仿宋_GB2312" w:eastAsia="方正仿宋_GB2312" w:cs="方正仿宋_GB2312"/>
          <w:sz w:val="32"/>
          <w:szCs w:val="32"/>
        </w:rPr>
        <w:t>出具并交付核对报告。</w:t>
      </w:r>
    </w:p>
    <w:p w14:paraId="1EDE5C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委托单位提出异议复核的，核对机构应在受理复核委托之日起的7个工作日内完成复核，并反馈复核结果。</w:t>
      </w:r>
    </w:p>
    <w:p w14:paraId="5A573D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对需要跨地域核对或存在其他特殊情况的，可以适当延长时间。</w:t>
      </w:r>
    </w:p>
    <w:p w14:paraId="15E553D8">
      <w:pPr>
        <w:pStyle w:val="2"/>
        <w:keepNext w:val="0"/>
        <w:keepLines w:val="0"/>
        <w:pageBreakBefore w:val="0"/>
        <w:kinsoku/>
        <w:wordWrap/>
        <w:overflowPunct/>
        <w:topLinePunct w:val="0"/>
        <w:bidi w:val="0"/>
        <w:snapToGrid/>
        <w:spacing w:line="560" w:lineRule="exact"/>
        <w:rPr>
          <w:rFonts w:hint="eastAsia"/>
        </w:rPr>
      </w:pPr>
    </w:p>
    <w:p w14:paraId="13311309">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0" w:firstLineChars="0"/>
        <w:jc w:val="center"/>
        <w:textAlignment w:val="auto"/>
        <w:rPr>
          <w:rFonts w:hint="default" w:ascii="黑体" w:hAnsi="黑体" w:eastAsia="黑体" w:cs="黑体"/>
          <w:bCs/>
          <w:kern w:val="0"/>
          <w:sz w:val="32"/>
          <w:szCs w:val="32"/>
          <w:lang w:val="en-US" w:eastAsia="zh-CN"/>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九</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监督管理</w:t>
      </w:r>
    </w:p>
    <w:p w14:paraId="29EA97D7">
      <w:pPr>
        <w:pStyle w:val="2"/>
        <w:keepNext w:val="0"/>
        <w:keepLines w:val="0"/>
        <w:pageBreakBefore w:val="0"/>
        <w:kinsoku/>
        <w:wordWrap/>
        <w:overflowPunct/>
        <w:topLinePunct w:val="0"/>
        <w:bidi w:val="0"/>
        <w:snapToGrid/>
        <w:spacing w:line="560" w:lineRule="exact"/>
        <w:rPr>
          <w:rFonts w:hint="default"/>
          <w:lang w:val="en-US" w:eastAsia="zh-CN"/>
        </w:rPr>
      </w:pPr>
    </w:p>
    <w:p w14:paraId="41D6F6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三十一</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核对机构在与信息共享单位开展数据交换时，应共同制定信息共享方案或签署信息共享协议，明确工作要求。信息共享单位提供的数据，核对机构不得作增加、更改、删除等操作。</w:t>
      </w:r>
    </w:p>
    <w:p w14:paraId="489953F9">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lang w:val="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三十二</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核对机构应加强对工作人员的保密教育，定期开展保密知识培训，并与从事核对工作的人员签订保密协议。核对机构工作人员应当对涉及居民隐私和秘密的信息保密，不得向与核对工作无关的单位和个人泄漏。</w:t>
      </w:r>
    </w:p>
    <w:p w14:paraId="3BEAD6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三十三</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rPr>
        <w:t>从事核对工作的人员玩忽职守、滥用职权、徇私舞弊或将核对对象的经济状况等信息泄漏造成严重后果的，根据国家相关规定给予严肃处理；构成犯罪的，由司法机关依法追究刑事责任。</w:t>
      </w:r>
    </w:p>
    <w:p w14:paraId="5FA1785B">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lang w:val="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三十四</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lang w:val="zh-CN"/>
        </w:rPr>
        <w:t>申请救助家庭因隐瞒家庭收入和家庭财产，提供伪造证件和虚假证明等行为而骗取专项救助待遇的，一经发现，县级核对机构取消已出具的收入核对认定结论，委托单位主管部门追回所得物款，并记入个人信用信息基础数据库及有关部门建立的诚信体系。</w:t>
      </w:r>
    </w:p>
    <w:p w14:paraId="78B97AC7">
      <w:pPr>
        <w:pStyle w:val="2"/>
        <w:rPr>
          <w:rFonts w:hint="eastAsia"/>
          <w:lang w:val="zh-CN"/>
        </w:rPr>
      </w:pPr>
    </w:p>
    <w:p w14:paraId="69A1B4CB">
      <w:pPr>
        <w:pStyle w:val="2"/>
        <w:keepNext w:val="0"/>
        <w:keepLines w:val="0"/>
        <w:pageBreakBefore w:val="0"/>
        <w:kinsoku/>
        <w:wordWrap/>
        <w:overflowPunct/>
        <w:topLinePunct w:val="0"/>
        <w:bidi w:val="0"/>
        <w:snapToGrid/>
        <w:spacing w:line="560" w:lineRule="exact"/>
        <w:rPr>
          <w:rFonts w:hint="eastAsia"/>
          <w:lang w:val="zh-CN"/>
        </w:rPr>
      </w:pPr>
    </w:p>
    <w:p w14:paraId="4B842842">
      <w:pPr>
        <w:keepNext w:val="0"/>
        <w:keepLines w:val="0"/>
        <w:pageBreakBefore w:val="0"/>
        <w:numPr>
          <w:ilvl w:val="0"/>
          <w:numId w:val="0"/>
        </w:numPr>
        <w:tabs>
          <w:tab w:val="left" w:pos="6545"/>
        </w:tabs>
        <w:kinsoku/>
        <w:wordWrap/>
        <w:overflowPunct/>
        <w:topLinePunct w:val="0"/>
        <w:bidi w:val="0"/>
        <w:snapToGrid/>
        <w:spacing w:line="560" w:lineRule="exact"/>
        <w:ind w:right="0" w:rightChars="0"/>
        <w:jc w:val="both"/>
        <w:rPr>
          <w:rFonts w:hint="eastAsia" w:ascii="黑体" w:hAnsi="黑体" w:eastAsia="黑体" w:cs="宋体"/>
          <w:bCs/>
          <w:kern w:val="0"/>
          <w:sz w:val="32"/>
          <w:szCs w:val="32"/>
        </w:rPr>
      </w:pPr>
    </w:p>
    <w:p w14:paraId="3E52EBB0">
      <w:pPr>
        <w:keepNext w:val="0"/>
        <w:keepLines w:val="0"/>
        <w:pageBreakBefore w:val="0"/>
        <w:widowControl w:val="0"/>
        <w:tabs>
          <w:tab w:val="left" w:pos="6545"/>
        </w:tabs>
        <w:kinsoku/>
        <w:wordWrap/>
        <w:overflowPunct/>
        <w:topLinePunct w:val="0"/>
        <w:autoSpaceDE/>
        <w:autoSpaceDN/>
        <w:bidi w:val="0"/>
        <w:adjustRightInd/>
        <w:snapToGrid/>
        <w:spacing w:line="560" w:lineRule="exact"/>
        <w:ind w:firstLine="0" w:firstLineChars="0"/>
        <w:jc w:val="center"/>
        <w:textAlignment w:val="auto"/>
        <w:rPr>
          <w:rFonts w:hint="eastAsia"/>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十</w:t>
      </w:r>
      <w:r>
        <w:rPr>
          <w:rFonts w:hint="eastAsia" w:ascii="黑体" w:hAnsi="黑体" w:eastAsia="黑体" w:cs="黑体"/>
          <w:bCs/>
          <w:kern w:val="0"/>
          <w:sz w:val="32"/>
          <w:szCs w:val="32"/>
        </w:rPr>
        <w:t xml:space="preserve">章  </w:t>
      </w:r>
      <w:r>
        <w:rPr>
          <w:rFonts w:hint="eastAsia" w:ascii="黑体" w:hAnsi="黑体" w:eastAsia="黑体" w:cs="黑体"/>
          <w:bCs/>
          <w:kern w:val="0"/>
          <w:sz w:val="32"/>
          <w:szCs w:val="32"/>
          <w:lang w:val="en-US" w:eastAsia="zh-CN"/>
        </w:rPr>
        <w:t>附  则</w:t>
      </w:r>
    </w:p>
    <w:p w14:paraId="38A15B41">
      <w:pPr>
        <w:pStyle w:val="2"/>
        <w:keepNext w:val="0"/>
        <w:keepLines w:val="0"/>
        <w:pageBreakBefore w:val="0"/>
        <w:numPr>
          <w:ilvl w:val="0"/>
          <w:numId w:val="0"/>
        </w:numPr>
        <w:kinsoku/>
        <w:wordWrap/>
        <w:overflowPunct/>
        <w:topLinePunct w:val="0"/>
        <w:bidi w:val="0"/>
        <w:snapToGrid/>
        <w:spacing w:line="560" w:lineRule="exact"/>
        <w:ind w:right="0" w:rightChars="0"/>
        <w:rPr>
          <w:rFonts w:hint="eastAsia"/>
          <w:lang w:val="zh-CN"/>
        </w:rPr>
      </w:pPr>
    </w:p>
    <w:p w14:paraId="6EEEE3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简体" w:hAnsi="华文仿宋" w:eastAsia="方正仿宋简体" w:cs="宋体"/>
          <w:b/>
          <w:bCs/>
          <w:kern w:val="0"/>
          <w:sz w:val="32"/>
          <w:szCs w:val="32"/>
        </w:rPr>
        <w:t>第</w:t>
      </w:r>
      <w:r>
        <w:rPr>
          <w:rFonts w:hint="eastAsia" w:ascii="方正仿宋简体" w:hAnsi="华文仿宋" w:eastAsia="方正仿宋简体" w:cs="宋体"/>
          <w:b/>
          <w:bCs/>
          <w:kern w:val="0"/>
          <w:sz w:val="32"/>
          <w:szCs w:val="32"/>
          <w:lang w:val="en-US" w:eastAsia="zh-CN"/>
        </w:rPr>
        <w:t>三十五</w:t>
      </w:r>
      <w:r>
        <w:rPr>
          <w:rFonts w:hint="eastAsia" w:ascii="方正仿宋简体" w:hAnsi="华文仿宋" w:eastAsia="方正仿宋简体" w:cs="宋体"/>
          <w:b/>
          <w:bCs/>
          <w:kern w:val="0"/>
          <w:sz w:val="32"/>
          <w:szCs w:val="32"/>
        </w:rPr>
        <w:t>条</w:t>
      </w:r>
      <w:r>
        <w:rPr>
          <w:rFonts w:hint="eastAsia" w:ascii="方正仿宋简体" w:hAnsi="华文仿宋" w:eastAsia="方正仿宋简体" w:cs="宋体"/>
          <w:b/>
          <w:bCs/>
          <w:kern w:val="0"/>
          <w:sz w:val="32"/>
          <w:szCs w:val="32"/>
          <w:lang w:val="en-US" w:eastAsia="zh-CN"/>
        </w:rPr>
        <w:t xml:space="preserve">  </w:t>
      </w:r>
      <w:r>
        <w:rPr>
          <w:rFonts w:hint="eastAsia" w:ascii="方正仿宋_GB2312" w:hAnsi="方正仿宋_GB2312" w:eastAsia="方正仿宋_GB2312" w:cs="方正仿宋_GB2312"/>
          <w:sz w:val="32"/>
          <w:szCs w:val="32"/>
          <w:lang w:val="zh-CN"/>
        </w:rPr>
        <w:t>本规程自印发之日起施行。</w:t>
      </w:r>
      <w:r>
        <w:rPr>
          <w:rFonts w:hint="eastAsia" w:ascii="方正仿宋_GB2312" w:hAnsi="方正仿宋_GB2312" w:eastAsia="方正仿宋_GB2312" w:cs="方正仿宋_GB2312"/>
          <w:sz w:val="32"/>
          <w:szCs w:val="32"/>
          <w:lang w:val="en-US" w:eastAsia="zh-CN"/>
        </w:rPr>
        <w:t>市民政局2017年11月29日印发的《南昌市居民家庭经济状况核对操作规程（试行）》（洪民字〔2017〕139号）同时废止。</w:t>
      </w:r>
    </w:p>
    <w:p w14:paraId="0AFD585C">
      <w:pPr>
        <w:pStyle w:val="2"/>
        <w:rPr>
          <w:rFonts w:hint="eastAsia"/>
          <w:lang w:val="zh-CN"/>
        </w:rPr>
      </w:pPr>
    </w:p>
    <w:tbl>
      <w:tblPr>
        <w:tblStyle w:val="7"/>
        <w:tblpPr w:leftFromText="180" w:rightFromText="180" w:horzAnchor="margin" w:tblpYSpec="bottom"/>
        <w:tblOverlap w:val="never"/>
        <w:tblW w:w="8860" w:type="dxa"/>
        <w:tblInd w:w="0" w:type="dxa"/>
        <w:tblBorders>
          <w:top w:val="single" w:color="auto" w:sz="8" w:space="0"/>
          <w:left w:val="none" w:color="auto" w:sz="4" w:space="0"/>
          <w:bottom w:val="single" w:color="auto" w:sz="8"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8860"/>
      </w:tblGrid>
      <w:tr w14:paraId="7FC14B66">
        <w:tblPrEx>
          <w:tblBorders>
            <w:top w:val="single" w:color="auto" w:sz="8" w:space="0"/>
            <w:left w:val="none" w:color="auto" w:sz="4" w:space="0"/>
            <w:bottom w:val="single" w:color="auto" w:sz="8"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70" w:hRule="atLeast"/>
        </w:trPr>
        <w:tc>
          <w:tcPr>
            <w:tcW w:w="9060" w:type="dxa"/>
            <w:noWrap w:val="0"/>
            <w:vAlign w:val="center"/>
          </w:tcPr>
          <w:p w14:paraId="1322873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000000"/>
                <w:sz w:val="32"/>
                <w:szCs w:val="32"/>
                <w:lang w:bidi="ar"/>
              </w:rPr>
            </w:pPr>
            <w:r>
              <w:rPr>
                <w:rFonts w:hint="eastAsia" w:ascii="方正仿宋_GBK" w:hAnsi="方正仿宋_GBK" w:eastAsia="方正仿宋_GBK" w:cs="方正仿宋_GBK"/>
                <w:color w:val="000000"/>
                <w:sz w:val="32"/>
                <w:szCs w:val="32"/>
                <w:lang w:bidi="ar"/>
              </w:rPr>
              <w:t>南昌市民政局办公室                   2022年</w:t>
            </w:r>
            <w:r>
              <w:rPr>
                <w:rFonts w:hint="eastAsia" w:ascii="方正仿宋_GBK" w:hAnsi="方正仿宋_GBK" w:eastAsia="方正仿宋_GBK" w:cs="方正仿宋_GBK"/>
                <w:color w:val="000000"/>
                <w:sz w:val="32"/>
                <w:szCs w:val="32"/>
                <w:lang w:val="en-US" w:eastAsia="zh-CN" w:bidi="ar"/>
              </w:rPr>
              <w:t>9</w:t>
            </w:r>
            <w:r>
              <w:rPr>
                <w:rFonts w:hint="eastAsia" w:ascii="方正仿宋_GBK" w:hAnsi="方正仿宋_GBK" w:eastAsia="方正仿宋_GBK" w:cs="方正仿宋_GBK"/>
                <w:color w:val="000000"/>
                <w:sz w:val="32"/>
                <w:szCs w:val="32"/>
                <w:lang w:bidi="ar"/>
              </w:rPr>
              <w:t>月</w:t>
            </w:r>
            <w:r>
              <w:rPr>
                <w:rFonts w:hint="eastAsia" w:ascii="方正仿宋_GBK" w:hAnsi="方正仿宋_GBK" w:eastAsia="方正仿宋_GBK" w:cs="方正仿宋_GBK"/>
                <w:color w:val="000000"/>
                <w:sz w:val="32"/>
                <w:szCs w:val="32"/>
                <w:lang w:val="en-US" w:eastAsia="zh-CN" w:bidi="ar"/>
              </w:rPr>
              <w:t>2</w:t>
            </w:r>
            <w:r>
              <w:rPr>
                <w:rFonts w:hint="eastAsia" w:ascii="方正仿宋_GBK" w:hAnsi="方正仿宋_GBK" w:eastAsia="方正仿宋_GBK" w:cs="方正仿宋_GBK"/>
                <w:color w:val="000000"/>
                <w:sz w:val="32"/>
                <w:szCs w:val="32"/>
                <w:lang w:bidi="ar"/>
              </w:rPr>
              <w:t>日印发</w:t>
            </w:r>
          </w:p>
        </w:tc>
      </w:tr>
    </w:tbl>
    <w:p w14:paraId="0F0209BB">
      <w:pPr>
        <w:pStyle w:val="5"/>
        <w:keepNext w:val="0"/>
        <w:keepLines w:val="0"/>
        <w:pageBreakBefore w:val="0"/>
        <w:widowControl w:val="0"/>
        <w:kinsoku/>
        <w:wordWrap/>
        <w:overflowPunct/>
        <w:topLinePunct w:val="0"/>
        <w:autoSpaceDE w:val="0"/>
        <w:autoSpaceDN w:val="0"/>
        <w:bidi w:val="0"/>
        <w:adjustRightInd/>
        <w:snapToGrid/>
        <w:spacing w:before="3" w:line="600" w:lineRule="exact"/>
        <w:jc w:val="both"/>
        <w:textAlignment w:val="auto"/>
        <w:rPr>
          <w:rFonts w:hint="eastAsia" w:ascii="仿宋" w:hAnsi="仿宋" w:eastAsia="仿宋" w:cs="仿宋"/>
          <w:sz w:val="32"/>
          <w:szCs w:val="32"/>
        </w:rPr>
      </w:pPr>
    </w:p>
    <w:p w14:paraId="7592F9E2">
      <w:pPr>
        <w:pStyle w:val="5"/>
        <w:keepNext w:val="0"/>
        <w:keepLines w:val="0"/>
        <w:pageBreakBefore w:val="0"/>
        <w:widowControl w:val="0"/>
        <w:kinsoku/>
        <w:wordWrap/>
        <w:overflowPunct/>
        <w:topLinePunct w:val="0"/>
        <w:autoSpaceDE w:val="0"/>
        <w:autoSpaceDN w:val="0"/>
        <w:bidi w:val="0"/>
        <w:adjustRightInd/>
        <w:snapToGrid/>
        <w:spacing w:before="3" w:line="600" w:lineRule="exact"/>
        <w:jc w:val="both"/>
        <w:textAlignment w:val="auto"/>
        <w:rPr>
          <w:rFonts w:hint="eastAsia" w:ascii="仿宋" w:hAnsi="仿宋" w:eastAsia="仿宋" w:cs="仿宋"/>
          <w:sz w:val="32"/>
          <w:szCs w:val="32"/>
        </w:rPr>
      </w:pPr>
    </w:p>
    <w:sectPr>
      <w:footerReference r:id="rId6" w:type="default"/>
      <w:pgSz w:w="11910" w:h="16840"/>
      <w:pgMar w:top="2098" w:right="1531" w:bottom="1984" w:left="1531" w:header="0" w:footer="975"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68713C-047F-46B1-8DAE-B3A328F943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大标宋简体">
    <w:altName w:val="微软雅黑"/>
    <w:panose1 w:val="03000509000000000000"/>
    <w:charset w:val="00"/>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7E9778D7-C552-4D17-8182-E8E29F17181B}"/>
  </w:font>
  <w:font w:name="仿宋_GB2312">
    <w:panose1 w:val="02010609030101010101"/>
    <w:charset w:val="86"/>
    <w:family w:val="modern"/>
    <w:pitch w:val="default"/>
    <w:sig w:usb0="00000001" w:usb1="080E0000" w:usb2="00000000" w:usb3="00000000" w:csb0="00040000" w:csb1="00000000"/>
    <w:embedRegular r:id="rId3" w:fontKey="{FC3ACB36-39B4-49CC-A501-3A237CE9B2B5}"/>
  </w:font>
  <w:font w:name="华文仿宋">
    <w:panose1 w:val="02010600040101010101"/>
    <w:charset w:val="86"/>
    <w:family w:val="auto"/>
    <w:pitch w:val="default"/>
    <w:sig w:usb0="00000287" w:usb1="080F0000" w:usb2="00000000" w:usb3="00000000" w:csb0="0004009F" w:csb1="DFD70000"/>
    <w:embedRegular r:id="rId4" w:fontKey="{2A509BBC-27C8-41C6-9185-729C53B4DC6B}"/>
  </w:font>
  <w:font w:name="方正小标宋简体">
    <w:panose1 w:val="02000000000000000000"/>
    <w:charset w:val="86"/>
    <w:family w:val="auto"/>
    <w:pitch w:val="default"/>
    <w:sig w:usb0="A00002BF" w:usb1="184F6CFA" w:usb2="00000012" w:usb3="00000000" w:csb0="00040001" w:csb1="00000000"/>
    <w:embedRegular r:id="rId5" w:fontKey="{D22E3F4D-6771-4D0A-890C-F4ADB8BB5F75}"/>
  </w:font>
  <w:font w:name="方正仿宋_GB2312">
    <w:altName w:val="仿宋"/>
    <w:panose1 w:val="02000000000000000000"/>
    <w:charset w:val="86"/>
    <w:family w:val="auto"/>
    <w:pitch w:val="default"/>
    <w:sig w:usb0="00000000" w:usb1="00000000" w:usb2="00000012" w:usb3="00000000" w:csb0="00040001" w:csb1="00000000"/>
    <w:embedRegular r:id="rId6" w:fontKey="{AB41DB18-E9EC-49CF-A1C4-9F4479C3A9E4}"/>
  </w:font>
  <w:font w:name="方正仿宋简体">
    <w:altName w:val="微软雅黑"/>
    <w:panose1 w:val="02010601030101010101"/>
    <w:charset w:val="00"/>
    <w:family w:val="auto"/>
    <w:pitch w:val="default"/>
    <w:sig w:usb0="00000000" w:usb1="00000000" w:usb2="00000010" w:usb3="00000000" w:csb0="00040000" w:csb1="00000000"/>
    <w:embedRegular r:id="rId7" w:fontKey="{9F6B1DD4-3888-4D9A-B179-36BD40CDB3A3}"/>
  </w:font>
  <w:font w:name="方正楷体_GBK">
    <w:altName w:val="微软雅黑"/>
    <w:panose1 w:val="02000000000000000000"/>
    <w:charset w:val="86"/>
    <w:family w:val="auto"/>
    <w:pitch w:val="default"/>
    <w:sig w:usb0="00000000" w:usb1="00000000" w:usb2="00000000" w:usb3="00000000" w:csb0="00040000" w:csb1="00000000"/>
    <w:embedRegular r:id="rId8" w:fontKey="{4C8B047B-3BE7-481A-8864-16EEBBC99EB6}"/>
  </w:font>
  <w:font w:name="方正仿宋_GBK">
    <w:altName w:val="微软雅黑"/>
    <w:panose1 w:val="02000000000000000000"/>
    <w:charset w:val="86"/>
    <w:family w:val="auto"/>
    <w:pitch w:val="default"/>
    <w:sig w:usb0="00000000" w:usb1="00000000" w:usb2="00000000" w:usb3="00000000" w:csb0="00040000" w:csb1="00000000"/>
    <w:embedRegular r:id="rId9" w:fontKey="{8D24A7A4-EE3F-44DC-B86D-B0B589564BBC}"/>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0FA53">
    <w:pPr>
      <w:pStyle w:val="5"/>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B2E25">
    <w:pPr>
      <w:pStyle w:val="5"/>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5AB06">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275AB06">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zMDhjZWQ2NDdlNGE5NjgxNDYxYmRmMjU3YmU1NDEifQ=="/>
  </w:docVars>
  <w:rsids>
    <w:rsidRoot w:val="00000000"/>
    <w:rsid w:val="02CC5203"/>
    <w:rsid w:val="064619A0"/>
    <w:rsid w:val="111D7925"/>
    <w:rsid w:val="1195135C"/>
    <w:rsid w:val="15EF6408"/>
    <w:rsid w:val="170708C8"/>
    <w:rsid w:val="18F90435"/>
    <w:rsid w:val="1FF85762"/>
    <w:rsid w:val="200D2FD2"/>
    <w:rsid w:val="224B3186"/>
    <w:rsid w:val="22A63038"/>
    <w:rsid w:val="257B78D4"/>
    <w:rsid w:val="268C33FB"/>
    <w:rsid w:val="2AA2587A"/>
    <w:rsid w:val="2D6C0A57"/>
    <w:rsid w:val="2DC03DDD"/>
    <w:rsid w:val="2E756278"/>
    <w:rsid w:val="353758B6"/>
    <w:rsid w:val="3D5F1D3B"/>
    <w:rsid w:val="419D4283"/>
    <w:rsid w:val="43CA0DCF"/>
    <w:rsid w:val="443F79FE"/>
    <w:rsid w:val="460C19D8"/>
    <w:rsid w:val="46D45206"/>
    <w:rsid w:val="473B4A2A"/>
    <w:rsid w:val="47D73037"/>
    <w:rsid w:val="49004915"/>
    <w:rsid w:val="49804FE4"/>
    <w:rsid w:val="4BFF3555"/>
    <w:rsid w:val="4DFB2C2B"/>
    <w:rsid w:val="4EFDC6A9"/>
    <w:rsid w:val="4FE7288B"/>
    <w:rsid w:val="512667FA"/>
    <w:rsid w:val="54422DB2"/>
    <w:rsid w:val="556C1127"/>
    <w:rsid w:val="569D762F"/>
    <w:rsid w:val="5BD67007"/>
    <w:rsid w:val="5BEB4495"/>
    <w:rsid w:val="62FA4BA8"/>
    <w:rsid w:val="63C621DA"/>
    <w:rsid w:val="6C501D6F"/>
    <w:rsid w:val="6CA03569"/>
    <w:rsid w:val="6F6FBFCC"/>
    <w:rsid w:val="6FD0400C"/>
    <w:rsid w:val="711A6D29"/>
    <w:rsid w:val="714141FC"/>
    <w:rsid w:val="72EC21FA"/>
    <w:rsid w:val="765575E4"/>
    <w:rsid w:val="78E522B5"/>
    <w:rsid w:val="79475833"/>
    <w:rsid w:val="79C55A4F"/>
    <w:rsid w:val="7B400893"/>
    <w:rsid w:val="7B9F3EB8"/>
    <w:rsid w:val="ADC7528D"/>
    <w:rsid w:val="CE5E63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1"/>
    <w:pPr>
      <w:ind w:left="780"/>
      <w:outlineLvl w:val="1"/>
    </w:pPr>
    <w:rPr>
      <w:rFonts w:ascii="Microsoft JhengHei" w:hAnsi="Microsoft JhengHei" w:eastAsia="Microsoft JhengHei" w:cs="Microsoft JhengHei"/>
      <w:b/>
      <w:bCs/>
      <w:sz w:val="32"/>
      <w:szCs w:val="32"/>
      <w:lang w:val="zh-CN" w:eastAsia="zh-CN" w:bidi="zh-CN"/>
    </w:rPr>
  </w:style>
  <w:style w:type="character" w:default="1" w:styleId="8">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spacing w:line="576" w:lineRule="exact"/>
    </w:pPr>
    <w:rPr>
      <w:rFonts w:ascii="宋体" w:hAnsi="Courier New" w:eastAsia="Times New Roman" w:cs="Times New Roman"/>
      <w:kern w:val="0"/>
      <w:szCs w:val="21"/>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rFonts w:eastAsia="宋体"/>
      <w:spacing w:val="0"/>
      <w:sz w:val="18"/>
      <w:szCs w:val="18"/>
    </w:rPr>
  </w:style>
  <w:style w:type="paragraph" w:styleId="5">
    <w:name w:val="Body Text"/>
    <w:basedOn w:val="1"/>
    <w:qFormat/>
    <w:uiPriority w:val="1"/>
    <w:rPr>
      <w:rFonts w:ascii="宋体" w:hAnsi="宋体" w:eastAsia="宋体" w:cs="宋体"/>
      <w:sz w:val="32"/>
      <w:szCs w:val="32"/>
      <w:lang w:val="zh-CN" w:eastAsia="zh-CN" w:bidi="zh-CN"/>
    </w:rPr>
  </w:style>
  <w:style w:type="paragraph" w:styleId="6">
    <w:name w:val="footer"/>
    <w:basedOn w:val="1"/>
    <w:uiPriority w:val="0"/>
    <w:pPr>
      <w:tabs>
        <w:tab w:val="center" w:pos="4153"/>
        <w:tab w:val="right" w:pos="8306"/>
      </w:tabs>
      <w:snapToGrid w:val="0"/>
      <w:jc w:val="left"/>
    </w:pPr>
    <w:rPr>
      <w:sz w:val="18"/>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40" w:firstLine="640"/>
    </w:pPr>
    <w:rPr>
      <w:rFonts w:ascii="宋体" w:hAnsi="宋体" w:eastAsia="宋体" w:cs="宋体"/>
      <w:lang w:val="zh-CN" w:eastAsia="zh-CN" w:bidi="zh-CN"/>
    </w:rPr>
  </w:style>
  <w:style w:type="paragraph" w:customStyle="1" w:styleId="11">
    <w:name w:val="Table Paragraph"/>
    <w:basedOn w:val="1"/>
    <w:qFormat/>
    <w:uiPriority w:val="1"/>
    <w:rPr>
      <w:lang w:val="zh-CN" w:eastAsia="zh-CN" w:bidi="zh-CN"/>
    </w:rPr>
  </w:style>
  <w:style w:type="paragraph" w:customStyle="1" w:styleId="12">
    <w:name w:val="大标题"/>
    <w:basedOn w:val="1"/>
    <w:qFormat/>
    <w:uiPriority w:val="0"/>
    <w:pPr>
      <w:autoSpaceDE w:val="0"/>
      <w:autoSpaceDN w:val="0"/>
      <w:adjustRightInd w:val="0"/>
      <w:spacing w:line="660" w:lineRule="atLeast"/>
      <w:jc w:val="center"/>
      <w:textAlignment w:val="center"/>
    </w:pPr>
    <w:rPr>
      <w:rFonts w:ascii="方正大标宋简体" w:eastAsia="方正大标宋简体"/>
      <w:color w:val="000000"/>
      <w:kern w:val="0"/>
      <w:sz w:val="44"/>
      <w:szCs w:val="44"/>
      <w:lang w:val="zh-CN"/>
    </w:rPr>
  </w:style>
  <w:style w:type="paragraph" w:customStyle="1" w:styleId="13">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3891</Words>
  <Characters>3915</Characters>
  <TotalTime>5</TotalTime>
  <ScaleCrop>false</ScaleCrop>
  <LinksUpToDate>false</LinksUpToDate>
  <CharactersWithSpaces>4060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2019-11-20T19:27:00Z</dcterms:created>
  <dc:creator>dell</dc:creator>
  <cp:lastModifiedBy>雪花</cp:lastModifiedBy>
  <cp:lastPrinted>2022-08-23T10:33:00Z</cp:lastPrinted>
  <dcterms:modified xsi:type="dcterms:W3CDTF">2024-12-31T06:02:00Z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78D29EED250240FBBDCDD443DCE1A32D</vt:lpwstr>
  </property>
</Properties>
</file>